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lang w:eastAsia="zh-CN"/>
        </w:rPr>
      </w:pPr>
      <w:bookmarkStart w:id="0" w:name="_GoBack"/>
      <w:r>
        <w:t>十二烷基磺酸钠</w:t>
      </w:r>
      <w:r>
        <w:rPr>
          <w:rFonts w:hint="eastAsia"/>
          <w:lang w:eastAsia="zh-CN"/>
        </w:rPr>
        <w:t>安全说明书</w:t>
      </w:r>
    </w:p>
    <w:bookmarkEnd w:id="0"/>
    <w:p>
      <w:pPr>
        <w:pStyle w:val="3"/>
        <w:spacing w:before="0"/>
      </w:pPr>
      <w:r>
        <w:t>1.化学品及企业标识</w:t>
      </w:r>
    </w:p>
    <w:p>
      <w:pPr>
        <w:pStyle w:val="3"/>
      </w:pPr>
      <w:r>
        <w:t>中文名：十二烷基磺酸钠</w:t>
      </w:r>
    </w:p>
    <w:p>
      <w:pPr>
        <w:pStyle w:val="3"/>
        <w:spacing w:before="40"/>
      </w:pPr>
      <w:r>
        <w:t>英文名：Sodium dodecanesulfonate</w:t>
      </w:r>
    </w:p>
    <w:p>
      <w:pPr>
        <w:pStyle w:val="3"/>
      </w:pPr>
      <w:r>
        <w:t>中文别名：十二烷基磺酸钠；1-十二烷基磺酸钠；月桂基磺酸钠</w:t>
      </w:r>
    </w:p>
    <w:p>
      <w:pPr>
        <w:pStyle w:val="3"/>
        <w:spacing w:before="40" w:line="280" w:lineRule="auto"/>
        <w:ind w:right="3441"/>
      </w:pPr>
      <w:r>
        <w:rPr>
          <w:w w:val="85"/>
        </w:rPr>
        <w:t xml:space="preserve">英文别名：Sodium 1-dodecanesulfonate;Dodecanesulfonic acid sodium salt;Sodium laurylsulfonate </w:t>
      </w:r>
      <w:r>
        <w:t>推荐用途：实验室用化验、试验及科学实验。</w:t>
      </w:r>
    </w:p>
    <w:p>
      <w:pPr>
        <w:pStyle w:val="3"/>
        <w:spacing w:before="0"/>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1"/>
      </w:pPr>
      <w:r>
        <w:t>邮编：200002</w:t>
      </w:r>
    </w:p>
    <w:p>
      <w:pPr>
        <w:pStyle w:val="3"/>
      </w:pPr>
      <w:r>
        <w:t>传真：86-021-63214037</w:t>
      </w:r>
    </w:p>
    <w:p>
      <w:pPr>
        <w:pStyle w:val="3"/>
      </w:pPr>
      <w:r>
        <w:t>应急电话：86-021-62679090</w:t>
      </w:r>
    </w:p>
    <w:p>
      <w:pPr>
        <w:pStyle w:val="3"/>
        <w:spacing w:before="40"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0" w:line="220" w:lineRule="exact"/>
      </w:pPr>
      <w:r>
        <w:t>安全技术说明书编码：SCRC CSDS2386-53-0 十二烷基磺酸钠</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before="40" w:line="280" w:lineRule="auto"/>
        <w:ind w:right="204"/>
      </w:pPr>
      <w:r>
        <w:rPr>
          <w:w w:val="97"/>
        </w:rPr>
        <w:t xml:space="preserve"> </w:t>
      </w:r>
      <w:r>
        <w:rPr>
          <w:w w:val="95"/>
        </w:rPr>
        <w:t>2.1  紧急情况概述：粉末。过量接触需采取特殊急救措施和进行医疗随访。用水雾,耐醇泡沫,干粉或二氧化碳灭火。如必要的话,戴自</w:t>
      </w:r>
      <w:r>
        <w:t>给式呼吸器去救火。</w:t>
      </w:r>
    </w:p>
    <w:p>
      <w:pPr>
        <w:pStyle w:val="3"/>
        <w:spacing w:before="0"/>
      </w:pPr>
      <w:r>
        <w:rPr>
          <w:w w:val="100"/>
        </w:rPr>
        <w:t xml:space="preserve"> </w:t>
      </w:r>
      <w:r>
        <w:t>2.2 GHS危险性分类：根据化学品全球统一分类与标签制度（GHS）的规定，不是危险物质或混合物。</w:t>
      </w:r>
    </w:p>
    <w:p>
      <w:pPr>
        <w:pStyle w:val="3"/>
      </w:pPr>
      <w:r>
        <w:rPr>
          <w:w w:val="97"/>
        </w:rPr>
        <w:t xml:space="preserve"> </w:t>
      </w:r>
      <w:r>
        <w:t>2.3 GHS标记要素，包括预防性的陈述：</w:t>
      </w:r>
    </w:p>
    <w:p>
      <w:pPr>
        <w:pStyle w:val="3"/>
        <w:spacing w:before="40"/>
      </w:pPr>
      <w:r>
        <w:rPr>
          <w:w w:val="88"/>
        </w:rPr>
        <w:t xml:space="preserve"> </w:t>
      </w:r>
      <w:r>
        <w:t xml:space="preserve">警示词： </w:t>
      </w:r>
    </w:p>
    <w:p>
      <w:pPr>
        <w:pStyle w:val="3"/>
      </w:pPr>
      <w:r>
        <w:rPr>
          <w:w w:val="96"/>
        </w:rPr>
        <w:t xml:space="preserve"> </w:t>
      </w:r>
      <w:r>
        <w:rPr>
          <w:w w:val="95"/>
        </w:rPr>
        <w:t>危险信息：不适用</w:t>
      </w:r>
    </w:p>
    <w:p>
      <w:pPr>
        <w:pStyle w:val="3"/>
      </w:pPr>
      <w:r>
        <w:rPr>
          <w:w w:val="96"/>
        </w:rPr>
        <w:t xml:space="preserve"> </w:t>
      </w:r>
      <w:r>
        <w:rPr>
          <w:w w:val="95"/>
        </w:rPr>
        <w:t>预防措施：不适用</w:t>
      </w:r>
    </w:p>
    <w:p>
      <w:pPr>
        <w:pStyle w:val="3"/>
        <w:spacing w:before="40"/>
      </w:pPr>
      <w:r>
        <w:rPr>
          <w:w w:val="96"/>
        </w:rPr>
        <w:t xml:space="preserve"> </w:t>
      </w:r>
      <w:r>
        <w:rPr>
          <w:w w:val="95"/>
        </w:rPr>
        <w:t>事故响应：不适用</w:t>
      </w:r>
    </w:p>
    <w:p>
      <w:pPr>
        <w:pStyle w:val="3"/>
      </w:pPr>
      <w:r>
        <w:rPr>
          <w:w w:val="96"/>
        </w:rPr>
        <w:t xml:space="preserve"> </w:t>
      </w:r>
      <w:r>
        <w:rPr>
          <w:w w:val="95"/>
        </w:rPr>
        <w:t>安全存储：不适用</w:t>
      </w:r>
    </w:p>
    <w:p>
      <w:pPr>
        <w:pStyle w:val="3"/>
        <w:spacing w:before="40"/>
      </w:pPr>
      <w:r>
        <w:rPr>
          <w:w w:val="96"/>
        </w:rPr>
        <w:t xml:space="preserve"> </w:t>
      </w:r>
      <w:r>
        <w:rPr>
          <w:w w:val="95"/>
        </w:rPr>
        <w:t>废弃处置：不适用</w:t>
      </w:r>
    </w:p>
    <w:p>
      <w:pPr>
        <w:pStyle w:val="3"/>
      </w:pPr>
      <w:r>
        <w:rPr>
          <w:w w:val="94"/>
        </w:rPr>
        <w:t xml:space="preserve"> </w:t>
      </w:r>
      <w:r>
        <w:t>2.4 物理化学危险性信息：不适用</w:t>
      </w:r>
    </w:p>
    <w:p>
      <w:pPr>
        <w:pStyle w:val="3"/>
      </w:pPr>
      <w:r>
        <w:rPr>
          <w:w w:val="91"/>
        </w:rPr>
        <w:t xml:space="preserve"> </w:t>
      </w:r>
      <w:r>
        <w:rPr>
          <w:w w:val="90"/>
        </w:rPr>
        <w:t>2.5 健康危害：不适用</w:t>
      </w:r>
    </w:p>
    <w:p>
      <w:pPr>
        <w:pStyle w:val="3"/>
        <w:spacing w:before="40"/>
      </w:pPr>
      <w:r>
        <w:rPr>
          <w:w w:val="91"/>
        </w:rPr>
        <w:t xml:space="preserve"> </w:t>
      </w:r>
      <w:r>
        <w:rPr>
          <w:w w:val="90"/>
        </w:rPr>
        <w:t>2.6 环境危害：不适用</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tabs>
          <w:tab w:val="left" w:pos="3626"/>
          <w:tab w:val="left" w:pos="7113"/>
        </w:tabs>
        <w:spacing w:before="0"/>
        <w:ind w:left="140"/>
      </w:pPr>
      <w:r>
        <w:t>主要成分：十二烷基磺酸钠</w:t>
      </w:r>
      <w:r>
        <w:tab/>
      </w:r>
      <w:r>
        <w:rPr>
          <w:w w:val="95"/>
        </w:rPr>
        <w:t>2386-53-0</w:t>
      </w:r>
      <w:r>
        <w:rPr>
          <w:w w:val="95"/>
        </w:rPr>
        <w:tab/>
      </w:r>
      <w:r>
        <w:t>≤100</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spacing w:before="0"/>
        <w:ind w:left="140"/>
      </w:pPr>
      <w:r>
        <w:t>次要成分：</w:t>
      </w:r>
    </w:p>
    <w:p>
      <w:pPr>
        <w:spacing w:before="20"/>
        <w:ind w:left="100" w:right="0" w:firstLine="0"/>
        <w:jc w:val="left"/>
        <w:rPr>
          <w:sz w:val="6"/>
        </w:rPr>
      </w:pPr>
      <w:r>
        <w:rPr>
          <w:w w:val="41"/>
          <w:sz w:val="6"/>
        </w:rPr>
        <w:t xml:space="preserve"> </w:t>
      </w:r>
    </w:p>
    <w:p>
      <w:pPr>
        <w:pStyle w:val="3"/>
        <w:spacing w:before="9"/>
        <w:ind w:left="0"/>
        <w:rPr>
          <w:sz w:val="5"/>
        </w:rPr>
      </w:pPr>
    </w:p>
    <w:p>
      <w:pPr>
        <w:pStyle w:val="3"/>
        <w:spacing w:before="0"/>
      </w:pPr>
      <w:r>
        <w:t>4.急救措施</w:t>
      </w:r>
    </w:p>
    <w:p>
      <w:pPr>
        <w:pStyle w:val="3"/>
      </w:pPr>
      <w:r>
        <w:rPr>
          <w:w w:val="92"/>
        </w:rPr>
        <w:t xml:space="preserve"> </w:t>
      </w:r>
      <w:r>
        <w:t>4.1 必要的急救措施描述：</w:t>
      </w:r>
    </w:p>
    <w:p>
      <w:pPr>
        <w:pStyle w:val="3"/>
      </w:pPr>
      <w:r>
        <w:rPr>
          <w:w w:val="94"/>
        </w:rPr>
        <w:t xml:space="preserve">     </w:t>
      </w:r>
      <w:r>
        <w:t>吸入：如果吸入,请将患者移到新鲜空气处。如果停止了呼吸,给于人工呼吸。</w:t>
      </w:r>
    </w:p>
    <w:p>
      <w:pPr>
        <w:pStyle w:val="3"/>
        <w:spacing w:before="40"/>
      </w:pPr>
      <w:r>
        <w:rPr>
          <w:w w:val="93"/>
        </w:rPr>
        <w:t xml:space="preserve">     </w:t>
      </w:r>
      <w:r>
        <w:t>皮肤接触：用肥皂和大量的水冲洗。请教医生。</w:t>
      </w:r>
    </w:p>
    <w:p>
      <w:pPr>
        <w:pStyle w:val="3"/>
      </w:pPr>
      <w:r>
        <w:rPr>
          <w:w w:val="92"/>
        </w:rPr>
        <w:t xml:space="preserve">     </w:t>
      </w:r>
      <w:r>
        <w:t>眼睛接触：谨慎起见用水冲洗眼睛。</w:t>
      </w:r>
    </w:p>
    <w:p>
      <w:pPr>
        <w:pStyle w:val="3"/>
        <w:spacing w:before="40"/>
      </w:pPr>
      <w:r>
        <w:rPr>
          <w:w w:val="95"/>
        </w:rPr>
        <w:t xml:space="preserve">     </w:t>
      </w:r>
      <w:r>
        <w:t>食入：切勿给失去知觉者从嘴里喂食任何东西。用水漱口。请教医生。</w:t>
      </w:r>
    </w:p>
    <w:p>
      <w:pPr>
        <w:pStyle w:val="3"/>
      </w:pPr>
      <w:r>
        <w:rPr>
          <w:w w:val="95"/>
        </w:rPr>
        <w:t xml:space="preserve"> </w:t>
      </w:r>
      <w:r>
        <w:t>4.2 主要症状和影响，急性和迟发效应：无资料</w:t>
      </w:r>
    </w:p>
    <w:p>
      <w:pPr>
        <w:pStyle w:val="3"/>
        <w:spacing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spacing w:before="40"/>
      </w:pPr>
      <w:r>
        <w:rPr>
          <w:w w:val="93"/>
        </w:rPr>
        <w:t xml:space="preserve"> </w:t>
      </w:r>
      <w:r>
        <w:t>5.1 特别危险性描述：无资料</w:t>
      </w:r>
    </w:p>
    <w:p>
      <w:pPr>
        <w:pStyle w:val="3"/>
      </w:pPr>
      <w:r>
        <w:rPr>
          <w:w w:val="95"/>
        </w:rPr>
        <w:t xml:space="preserve"> 5.2 灭火方法或灭火剂：用水雾,耐醇泡沫,干粉或二氧化碳灭火。</w:t>
      </w:r>
    </w:p>
    <w:p>
      <w:pPr>
        <w:pStyle w:val="3"/>
        <w:spacing w:before="40" w:line="220" w:lineRule="exact"/>
      </w:pPr>
      <w:r>
        <w:rPr>
          <w:w w:val="95"/>
        </w:rPr>
        <w:t xml:space="preserve"> 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6.泄露应急措施</w:t>
      </w:r>
    </w:p>
    <w:p>
      <w:pPr>
        <w:spacing w:after="0"/>
        <w:sectPr>
          <w:footerReference r:id="rId5" w:type="default"/>
          <w:pgSz w:w="11900" w:h="16840"/>
          <w:pgMar w:top="760" w:right="600" w:bottom="700" w:left="620" w:header="0" w:footer="509" w:gutter="0"/>
          <w:pgNumType w:start="312"/>
          <w:cols w:space="720" w:num="1"/>
        </w:sectPr>
      </w:pPr>
    </w:p>
    <w:p>
      <w:pPr>
        <w:pStyle w:val="3"/>
        <w:spacing w:before="50"/>
      </w:pPr>
      <w:r>
        <w:rPr>
          <w:w w:val="97"/>
        </w:rPr>
        <w:t xml:space="preserve"> </w:t>
      </w:r>
      <w:r>
        <w:t>6.1 作业人员的防护措施、防护设备和应急处置程序：防止粉尘的生成。防止吸入蒸汽、气雾或气体。</w:t>
      </w:r>
    </w:p>
    <w:p>
      <w:pPr>
        <w:pStyle w:val="3"/>
      </w:pPr>
      <w:r>
        <w:rPr>
          <w:w w:val="95"/>
        </w:rPr>
        <w:t xml:space="preserve"> </w:t>
      </w:r>
      <w:r>
        <w:t>6.2 环境保护措施：不要让产物进入下水道。</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before="40"/>
      </w:pPr>
      <w:r>
        <w:rPr>
          <w:w w:val="97"/>
        </w:rPr>
        <w:t xml:space="preserve"> </w:t>
      </w:r>
      <w:r>
        <w:t>7.1 安全处置注意事项：在有粉尘生成的地方,提供合适的排风设备。一般性的防火保护措施。</w:t>
      </w:r>
    </w:p>
    <w:p>
      <w:pPr>
        <w:pStyle w:val="3"/>
      </w:pPr>
      <w:r>
        <w:rPr>
          <w:w w:val="97"/>
        </w:rPr>
        <w:t xml:space="preserve"> </w:t>
      </w:r>
      <w:r>
        <w:t>7.2 安全储存注意事项：贮存在阴凉处。使容器保持密闭，储存在干燥通风处。</w:t>
      </w:r>
    </w:p>
    <w:p>
      <w:pPr>
        <w:pStyle w:val="3"/>
        <w:spacing w:line="220" w:lineRule="exact"/>
      </w:pPr>
      <w:r>
        <w:rPr>
          <w:w w:val="91"/>
        </w:rPr>
        <w:t xml:space="preserve"> </w:t>
      </w:r>
      <w:r>
        <w:t>7.3 不兼容性：无资料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spacing w:before="40"/>
      </w:pPr>
      <w:r>
        <w:rPr>
          <w:w w:val="93"/>
        </w:rPr>
        <w:t xml:space="preserve"> </w:t>
      </w:r>
      <w:r>
        <w:t>8.1 作业场所职业接触限值：</w:t>
      </w:r>
    </w:p>
    <w:p>
      <w:pPr>
        <w:pStyle w:val="3"/>
      </w:pPr>
      <w:r>
        <w:rPr>
          <w:w w:val="105"/>
        </w:rPr>
        <w:t xml:space="preserve"> MAC(mg/m3)：无资料</w:t>
      </w:r>
    </w:p>
    <w:p>
      <w:pPr>
        <w:pStyle w:val="3"/>
      </w:pPr>
      <w:r>
        <w:rPr>
          <w:w w:val="100"/>
        </w:rPr>
        <w:t xml:space="preserve"> </w:t>
      </w:r>
      <w:r>
        <w:t>PC-STEL(mg/m3)：无资料</w:t>
      </w:r>
    </w:p>
    <w:p>
      <w:pPr>
        <w:pStyle w:val="3"/>
        <w:spacing w:before="40"/>
      </w:pPr>
      <w:r>
        <w:rPr>
          <w:w w:val="106"/>
        </w:rPr>
        <w:t xml:space="preserve"> </w:t>
      </w:r>
      <w:r>
        <w:rPr>
          <w:w w:val="105"/>
        </w:rPr>
        <w:t>TLV-TWA(mg/m3)：无资料</w:t>
      </w:r>
    </w:p>
    <w:p>
      <w:pPr>
        <w:pStyle w:val="3"/>
      </w:pPr>
      <w:r>
        <w:rPr>
          <w:w w:val="105"/>
        </w:rPr>
        <w:t xml:space="preserve"> PC-TWA(mg/m3)：无资料</w:t>
      </w:r>
    </w:p>
    <w:p>
      <w:pPr>
        <w:pStyle w:val="3"/>
        <w:spacing w:before="40"/>
      </w:pPr>
      <w:r>
        <w:rPr>
          <w:w w:val="101"/>
        </w:rPr>
        <w:t xml:space="preserve"> </w:t>
      </w:r>
      <w:r>
        <w:t>TLV-C(mg/m3)：无资料</w:t>
      </w:r>
    </w:p>
    <w:p>
      <w:pPr>
        <w:pStyle w:val="3"/>
      </w:pPr>
      <w:r>
        <w:rPr>
          <w:w w:val="103"/>
        </w:rPr>
        <w:t xml:space="preserve"> </w:t>
      </w:r>
      <w:r>
        <w:rPr>
          <w:w w:val="105"/>
        </w:rPr>
        <w:t>TLV=STEL(mg/m3)：无资料</w:t>
      </w:r>
    </w:p>
    <w:p>
      <w:pPr>
        <w:pStyle w:val="3"/>
      </w:pPr>
      <w:r>
        <w:rPr>
          <w:w w:val="91"/>
        </w:rPr>
        <w:t xml:space="preserve"> </w:t>
      </w:r>
      <w:r>
        <w:t>8.2 检测方法：无资料</w:t>
      </w:r>
    </w:p>
    <w:p>
      <w:pPr>
        <w:pStyle w:val="3"/>
        <w:spacing w:before="40"/>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1"/>
      </w:pPr>
      <w:r>
        <w:rPr>
          <w:w w:val="88"/>
        </w:rPr>
        <w:t xml:space="preserve">     </w:t>
      </w:r>
      <w:r>
        <w:t>手防护：戴橡胶手套。</w:t>
      </w:r>
    </w:p>
    <w:p>
      <w:pPr>
        <w:pStyle w:val="3"/>
      </w:pPr>
      <w:r>
        <w:rPr>
          <w:w w:val="91"/>
        </w:rPr>
        <w:t xml:space="preserve">     </w:t>
      </w:r>
      <w:r>
        <w:t>眼睛防护：戴化学安全防护眼镜。</w:t>
      </w:r>
    </w:p>
    <w:p>
      <w:pPr>
        <w:pStyle w:val="3"/>
        <w:spacing w:before="40" w:line="280" w:lineRule="auto"/>
        <w:ind w:right="131"/>
      </w:pPr>
      <w:r>
        <w:rPr>
          <w:w w:val="97"/>
        </w:rPr>
        <w:t xml:space="preserve">     </w:t>
      </w:r>
      <w:r>
        <w:rPr>
          <w:spacing w:val="-1"/>
          <w:w w:val="95"/>
        </w:rPr>
        <w:t xml:space="preserve">皮肤和身体防护：根据危险物质的类型，浓度和量，以及特定的工作场所来选择人体保护措施。防护设备的类型必须根据特定工作  </w:t>
      </w:r>
      <w:r>
        <w:t>场所中的危险物的浓度和含量来选择。</w:t>
      </w:r>
    </w:p>
    <w:p>
      <w:pPr>
        <w:pStyle w:val="3"/>
        <w:spacing w:before="0"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ind w:left="140"/>
      </w:pPr>
      <w:r>
        <w:t>外观与性状：白色或淡黄色至棕色固体物。</w:t>
      </w:r>
      <w:r>
        <w:tab/>
      </w:r>
      <w:r>
        <w:t>气味：无资料</w:t>
      </w:r>
    </w:p>
    <w:p>
      <w:pPr>
        <w:pStyle w:val="3"/>
        <w:tabs>
          <w:tab w:val="left" w:pos="6415"/>
        </w:tabs>
        <w:spacing w:before="7"/>
        <w:ind w:left="140"/>
      </w:pPr>
      <w:r>
        <w:t>气味阈值：无资料</w:t>
      </w:r>
      <w:r>
        <w:tab/>
      </w:r>
      <w:r>
        <w:t>pH：5.5-7.5(100g/L,H2O,20℃)</w:t>
      </w:r>
    </w:p>
    <w:p>
      <w:pPr>
        <w:pStyle w:val="3"/>
        <w:tabs>
          <w:tab w:val="left" w:pos="6415"/>
        </w:tabs>
        <w:spacing w:before="8"/>
        <w:ind w:left="140"/>
      </w:pPr>
      <w:r>
        <w:t>熔点/凝固点(℃)：&gt;300℃</w:t>
      </w:r>
      <w:r>
        <w:tab/>
      </w:r>
      <w:r>
        <w:t>沸点、初沸点、沸程(℃)：无资料</w:t>
      </w:r>
    </w:p>
    <w:p>
      <w:pPr>
        <w:pStyle w:val="3"/>
        <w:tabs>
          <w:tab w:val="left" w:pos="6415"/>
        </w:tabs>
        <w:spacing w:before="8"/>
        <w:ind w:left="140"/>
      </w:pPr>
      <w:r>
        <w:t>密度/相对密度(水=1)：无资料</w:t>
      </w:r>
      <w:r>
        <w:tab/>
      </w:r>
      <w:r>
        <w:t>蒸汽密度(空气=1)：无资料</w:t>
      </w:r>
    </w:p>
    <w:p>
      <w:pPr>
        <w:pStyle w:val="3"/>
        <w:tabs>
          <w:tab w:val="left" w:pos="6415"/>
        </w:tabs>
        <w:spacing w:before="8"/>
        <w:ind w:left="140"/>
      </w:pPr>
      <w:r>
        <w:t>蒸汽压(kPa)：无资料</w:t>
      </w:r>
      <w:r>
        <w:tab/>
      </w:r>
      <w: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7"/>
        <w:ind w:left="140"/>
      </w:pPr>
      <w:r>
        <w:t>辛醇/水分配系数的对数值：无资料</w:t>
      </w:r>
      <w:r>
        <w:tab/>
      </w:r>
      <w:r>
        <w:rPr>
          <w:w w:val="95"/>
        </w:rPr>
        <w:t>闪点(℃)：无资料</w:t>
      </w:r>
    </w:p>
    <w:p>
      <w:pPr>
        <w:pStyle w:val="3"/>
        <w:tabs>
          <w:tab w:val="left" w:pos="6415"/>
        </w:tabs>
        <w:spacing w:before="8"/>
        <w:ind w:left="140"/>
      </w:pPr>
      <w:r>
        <w:t>自燃温度(℃)：无资料</w:t>
      </w:r>
      <w:r>
        <w:tab/>
      </w:r>
      <w:r>
        <w:t>爆炸上限%（V/V）：无资料</w:t>
      </w:r>
    </w:p>
    <w:p>
      <w:pPr>
        <w:pStyle w:val="3"/>
        <w:tabs>
          <w:tab w:val="left" w:pos="6415"/>
        </w:tabs>
        <w:spacing w:before="8"/>
        <w:ind w:left="140"/>
      </w:pPr>
      <w:r>
        <w:t>溶解性：易溶于热水，溶于热乙醇，不溶于石油醚。</w:t>
      </w:r>
      <w:r>
        <w:tab/>
      </w:r>
      <w:r>
        <w:t>爆炸下限%（V/V）：无资料</w:t>
      </w:r>
    </w:p>
    <w:p>
      <w:pPr>
        <w:pStyle w:val="3"/>
        <w:tabs>
          <w:tab w:val="left" w:pos="6415"/>
        </w:tabs>
        <w:spacing w:before="8"/>
        <w:ind w:left="140"/>
      </w:pPr>
      <w:r>
        <w:t>易燃性（固体、气体）：无资料</w:t>
      </w:r>
      <w:r>
        <w:tab/>
      </w:r>
      <w:r>
        <w:t>蒸发速率：无资料</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t>10.稳定性和反应性</w:t>
      </w:r>
    </w:p>
    <w:p>
      <w:pPr>
        <w:pStyle w:val="3"/>
        <w:spacing w:before="40"/>
      </w:pPr>
      <w:r>
        <w:rPr>
          <w:w w:val="90"/>
        </w:rPr>
        <w:t xml:space="preserve"> </w:t>
      </w:r>
      <w:r>
        <w:t>10.1 稳定性：无资料</w:t>
      </w:r>
    </w:p>
    <w:p>
      <w:pPr>
        <w:pStyle w:val="3"/>
      </w:pPr>
      <w:r>
        <w:rPr>
          <w:w w:val="91"/>
        </w:rPr>
        <w:t xml:space="preserve"> </w:t>
      </w:r>
      <w:r>
        <w:t>10.2 危险反应：无资料</w:t>
      </w:r>
    </w:p>
    <w:p>
      <w:pPr>
        <w:pStyle w:val="3"/>
      </w:pPr>
      <w:r>
        <w:rPr>
          <w:w w:val="92"/>
        </w:rPr>
        <w:t xml:space="preserve"> </w:t>
      </w:r>
      <w:r>
        <w:t>10.3 应避免的条件：无资料</w:t>
      </w:r>
    </w:p>
    <w:p>
      <w:pPr>
        <w:pStyle w:val="3"/>
        <w:spacing w:before="40"/>
      </w:pPr>
      <w:r>
        <w:rPr>
          <w:w w:val="93"/>
        </w:rPr>
        <w:t xml:space="preserve"> </w:t>
      </w:r>
      <w:r>
        <w:rPr>
          <w:w w:val="95"/>
        </w:rPr>
        <w:t>10.4</w:t>
      </w:r>
      <w:r>
        <w:rPr>
          <w:spacing w:val="-7"/>
          <w:w w:val="95"/>
        </w:rPr>
        <w:t xml:space="preserve"> 不相容物质：强氧化物。</w:t>
      </w:r>
    </w:p>
    <w:p>
      <w:pPr>
        <w:pStyle w:val="3"/>
        <w:spacing w:line="220" w:lineRule="exact"/>
      </w:pPr>
      <w:r>
        <w:rPr>
          <w:w w:val="93"/>
        </w:rPr>
        <w:t xml:space="preserve"> </w:t>
      </w:r>
      <w:r>
        <w:rPr>
          <w:w w:val="95"/>
        </w:rPr>
        <w:t>10.5</w:t>
      </w:r>
      <w:r>
        <w:rPr>
          <w:spacing w:val="-7"/>
          <w:w w:val="95"/>
        </w:rPr>
        <w:t xml:space="preserve"> 危险的分解产物：无资料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11.毒理学信息</w:t>
      </w:r>
    </w:p>
    <w:p>
      <w:pPr>
        <w:pStyle w:val="3"/>
      </w:pPr>
      <w:r>
        <w:rPr>
          <w:w w:val="91"/>
        </w:rPr>
        <w:t xml:space="preserve"> </w:t>
      </w:r>
      <w:r>
        <w:t>11.1 急性毒性：无资料</w:t>
      </w:r>
    </w:p>
    <w:p>
      <w:pPr>
        <w:pStyle w:val="3"/>
        <w:spacing w:before="40"/>
      </w:pPr>
      <w:r>
        <w:rPr>
          <w:w w:val="93"/>
        </w:rPr>
        <w:t xml:space="preserve"> </w:t>
      </w:r>
      <w:r>
        <w:rPr>
          <w:w w:val="95"/>
        </w:rPr>
        <w:t>11.2</w:t>
      </w:r>
      <w:r>
        <w:rPr>
          <w:spacing w:val="-7"/>
          <w:w w:val="95"/>
        </w:rPr>
        <w:t xml:space="preserve"> 皮肤刺激或腐蚀：无资料</w:t>
      </w:r>
    </w:p>
    <w:p>
      <w:pPr>
        <w:pStyle w:val="3"/>
      </w:pPr>
      <w:r>
        <w:rPr>
          <w:w w:val="93"/>
        </w:rPr>
        <w:t xml:space="preserve"> </w:t>
      </w:r>
      <w:r>
        <w:rPr>
          <w:w w:val="95"/>
        </w:rPr>
        <w:t>11.3</w:t>
      </w:r>
      <w:r>
        <w:rPr>
          <w:spacing w:val="-7"/>
          <w:w w:val="95"/>
        </w:rPr>
        <w:t xml:space="preserve"> 眼睛刺激和腐蚀：无资料</w:t>
      </w:r>
    </w:p>
    <w:p>
      <w:pPr>
        <w:pStyle w:val="3"/>
        <w:spacing w:before="40"/>
      </w:pPr>
      <w:r>
        <w:rPr>
          <w:w w:val="93"/>
        </w:rPr>
        <w:t xml:space="preserve"> </w:t>
      </w:r>
      <w:r>
        <w:rPr>
          <w:w w:val="95"/>
        </w:rPr>
        <w:t>11.4</w:t>
      </w:r>
      <w:r>
        <w:rPr>
          <w:spacing w:val="-7"/>
          <w:w w:val="95"/>
        </w:rPr>
        <w:t xml:space="preserve"> 呼吸或皮肤过敏：无资料</w:t>
      </w:r>
    </w:p>
    <w:p>
      <w:pPr>
        <w:pStyle w:val="3"/>
      </w:pPr>
      <w:r>
        <w:rPr>
          <w:w w:val="93"/>
        </w:rPr>
        <w:t xml:space="preserve"> </w:t>
      </w:r>
      <w:r>
        <w:rPr>
          <w:w w:val="95"/>
        </w:rPr>
        <w:t>11.5</w:t>
      </w:r>
      <w:r>
        <w:rPr>
          <w:spacing w:val="-7"/>
          <w:w w:val="95"/>
        </w:rPr>
        <w:t xml:space="preserve"> 生殖细胞突变性：无资料</w:t>
      </w:r>
    </w:p>
    <w:p>
      <w:pPr>
        <w:pStyle w:val="3"/>
      </w:pPr>
      <w:r>
        <w:rPr>
          <w:w w:val="98"/>
        </w:rPr>
        <w:t xml:space="preserve"> </w:t>
      </w:r>
      <w:r>
        <w:t>11.6 致癌性：此产品中没有大于或等于0.1%含量的组分被IARC鉴别为可能的或肯定的人类致癌物。</w:t>
      </w:r>
    </w:p>
    <w:p>
      <w:pPr>
        <w:pStyle w:val="3"/>
        <w:spacing w:before="40"/>
      </w:pPr>
      <w:r>
        <w:rPr>
          <w:w w:val="91"/>
        </w:rPr>
        <w:t xml:space="preserve"> </w:t>
      </w:r>
      <w:r>
        <w:t>11.7 生殖毒性：无资料</w:t>
      </w:r>
    </w:p>
    <w:p>
      <w:pPr>
        <w:pStyle w:val="3"/>
      </w:pPr>
      <w:r>
        <w:rPr>
          <w:w w:val="95"/>
        </w:rPr>
        <w:t xml:space="preserve"> 11.8 特异性靶器官系统毒性（一次接触）：无资料</w:t>
      </w:r>
    </w:p>
    <w:p>
      <w:pPr>
        <w:pStyle w:val="3"/>
      </w:pPr>
      <w:r>
        <w:rPr>
          <w:w w:val="95"/>
        </w:rPr>
        <w:t xml:space="preserve"> 11.9 特异性靶器官系统毒性（反复接触）：无资料</w:t>
      </w:r>
    </w:p>
    <w:p>
      <w:pPr>
        <w:pStyle w:val="3"/>
        <w:spacing w:before="40"/>
      </w:pPr>
      <w:r>
        <w:rPr>
          <w:w w:val="91"/>
        </w:rPr>
        <w:t xml:space="preserve"> </w:t>
      </w:r>
      <w:r>
        <w:rPr>
          <w:w w:val="90"/>
        </w:rPr>
        <w:t>11.10 吸入危险：无资料</w:t>
      </w:r>
    </w:p>
    <w:p>
      <w:pPr>
        <w:pStyle w:val="3"/>
      </w:pPr>
      <w:r>
        <w:rPr>
          <w:w w:val="91"/>
        </w:rPr>
        <w:t xml:space="preserve"> </w:t>
      </w:r>
      <w:r>
        <w:rPr>
          <w:w w:val="90"/>
        </w:rPr>
        <w:t>11.11 潜在的健康危险：</w:t>
      </w:r>
    </w:p>
    <w:p>
      <w:pPr>
        <w:spacing w:after="0"/>
        <w:sectPr>
          <w:pgSz w:w="11900" w:h="16840"/>
          <w:pgMar w:top="760" w:right="600" w:bottom="700" w:left="620" w:header="0" w:footer="509" w:gutter="0"/>
          <w:cols w:space="720" w:num="1"/>
        </w:sectPr>
      </w:pPr>
    </w:p>
    <w:p>
      <w:pPr>
        <w:pStyle w:val="3"/>
        <w:spacing w:before="50"/>
        <w:jc w:val="both"/>
      </w:pPr>
      <w:r>
        <w:rPr>
          <w:w w:val="98"/>
        </w:rPr>
        <w:t xml:space="preserve"> </w:t>
      </w:r>
      <w:r>
        <w:t>吸入：吸入可能有害。可能引起呼吸道刺激。</w:t>
      </w:r>
    </w:p>
    <w:p>
      <w:pPr>
        <w:pStyle w:val="3"/>
        <w:jc w:val="both"/>
      </w:pPr>
      <w:r>
        <w:rPr>
          <w:w w:val="97"/>
        </w:rPr>
        <w:t xml:space="preserve"> </w:t>
      </w:r>
      <w:r>
        <w:t>摄入：吞咽可能有害。</w:t>
      </w:r>
    </w:p>
    <w:p>
      <w:pPr>
        <w:pStyle w:val="3"/>
        <w:jc w:val="both"/>
      </w:pPr>
      <w:r>
        <w:rPr>
          <w:w w:val="98"/>
        </w:rPr>
        <w:t xml:space="preserve"> </w:t>
      </w:r>
      <w:r>
        <w:t>皮肤：通过皮肤吸收可能有害。可能引起皮肤刺激。</w:t>
      </w:r>
    </w:p>
    <w:p>
      <w:pPr>
        <w:pStyle w:val="3"/>
        <w:spacing w:before="40" w:line="220" w:lineRule="exact"/>
        <w:jc w:val="both"/>
      </w:pPr>
      <w:r>
        <w:rPr>
          <w:w w:val="97"/>
        </w:rPr>
        <w:t xml:space="preserve"> </w:t>
      </w:r>
      <w:r>
        <w:t>眼睛：可能引起眼睛刺激。</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12.生态学信息</w:t>
      </w:r>
    </w:p>
    <w:p>
      <w:pPr>
        <w:pStyle w:val="3"/>
        <w:jc w:val="both"/>
      </w:pPr>
      <w:r>
        <w:rPr>
          <w:w w:val="91"/>
        </w:rPr>
        <w:t xml:space="preserve"> </w:t>
      </w:r>
      <w:r>
        <w:t>12.1 生态毒性：无资料</w:t>
      </w:r>
    </w:p>
    <w:p>
      <w:pPr>
        <w:pStyle w:val="3"/>
        <w:spacing w:before="40"/>
        <w:jc w:val="both"/>
      </w:pPr>
      <w:r>
        <w:rPr>
          <w:w w:val="93"/>
        </w:rPr>
        <w:t xml:space="preserve"> </w:t>
      </w:r>
      <w:r>
        <w:t>12.2 持久性和降解性：无资料</w:t>
      </w:r>
    </w:p>
    <w:p>
      <w:pPr>
        <w:pStyle w:val="3"/>
        <w:jc w:val="both"/>
      </w:pPr>
      <w:r>
        <w:rPr>
          <w:w w:val="93"/>
        </w:rPr>
        <w:t xml:space="preserve"> </w:t>
      </w:r>
      <w:r>
        <w:t>12.3 潜在的生物累积性：无资料</w:t>
      </w:r>
    </w:p>
    <w:p>
      <w:pPr>
        <w:pStyle w:val="3"/>
        <w:jc w:val="both"/>
      </w:pPr>
      <w:r>
        <w:rPr>
          <w:w w:val="93"/>
        </w:rPr>
        <w:t xml:space="preserve"> </w:t>
      </w:r>
      <w:r>
        <w:t>12.4 土壤中的迁移性：无资料</w:t>
      </w:r>
    </w:p>
    <w:p>
      <w:pPr>
        <w:pStyle w:val="3"/>
        <w:spacing w:before="40" w:line="220" w:lineRule="exact"/>
        <w:jc w:val="both"/>
      </w:pPr>
      <w:r>
        <w:rPr>
          <w:w w:val="92"/>
        </w:rPr>
        <w:t xml:space="preserve"> </w:t>
      </w:r>
      <w:r>
        <w:t>12.5 其它不良影响：无资料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13.废弃处置</w:t>
      </w:r>
    </w:p>
    <w:p>
      <w:pPr>
        <w:pStyle w:val="3"/>
        <w:jc w:val="both"/>
      </w:pPr>
      <w:r>
        <w:rPr>
          <w:w w:val="96"/>
        </w:rPr>
        <w:t xml:space="preserve"> </w:t>
      </w:r>
      <w:r>
        <w:t>13.1 残余废弃物处置方法：将剩余的和未回收的溶液交给处理公司。</w:t>
      </w:r>
    </w:p>
    <w:p>
      <w:pPr>
        <w:pStyle w:val="3"/>
        <w:spacing w:before="40"/>
        <w:jc w:val="both"/>
      </w:pPr>
      <w:r>
        <w:rPr>
          <w:w w:val="95"/>
        </w:rPr>
        <w:t xml:space="preserve"> </w:t>
      </w:r>
      <w:r>
        <w:t>13.2 受污染的容器和包装：按未用产品处置</w:t>
      </w:r>
    </w:p>
    <w:p>
      <w:pPr>
        <w:pStyle w:val="3"/>
        <w:spacing w:line="220" w:lineRule="exact"/>
        <w:jc w:val="both"/>
      </w:pPr>
      <w:r>
        <w:rPr>
          <w:w w:val="96"/>
        </w:rPr>
        <w:t xml:space="preserve"> </w:t>
      </w:r>
      <w:r>
        <w:t>13.3 废弃处置注意事项：处置前参照国家和地方有关法律法规</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14.运输信息</w:t>
      </w:r>
    </w:p>
    <w:p>
      <w:pPr>
        <w:pStyle w:val="3"/>
        <w:jc w:val="both"/>
      </w:pPr>
      <w:r>
        <w:rPr>
          <w:w w:val="104"/>
        </w:rPr>
        <w:t xml:space="preserve">  </w:t>
      </w:r>
      <w:r>
        <w:rPr>
          <w:w w:val="105"/>
        </w:rPr>
        <w:t>危规号CN：NA</w:t>
      </w:r>
    </w:p>
    <w:p>
      <w:pPr>
        <w:pStyle w:val="3"/>
        <w:spacing w:before="40"/>
        <w:jc w:val="both"/>
      </w:pPr>
      <w:r>
        <w:rPr>
          <w:w w:val="98"/>
        </w:rPr>
        <w:t xml:space="preserve">  </w:t>
      </w:r>
      <w:r>
        <w:t>联合国危险货物编号：NA</w:t>
      </w:r>
    </w:p>
    <w:p>
      <w:pPr>
        <w:pStyle w:val="3"/>
        <w:jc w:val="both"/>
      </w:pPr>
      <w:r>
        <w:rPr>
          <w:w w:val="95"/>
        </w:rPr>
        <w:t xml:space="preserve">  </w:t>
      </w:r>
      <w:r>
        <w:t>联合国运输名称：非危险货物</w:t>
      </w:r>
    </w:p>
    <w:p>
      <w:pPr>
        <w:pStyle w:val="3"/>
        <w:spacing w:before="40"/>
        <w:jc w:val="both"/>
      </w:pPr>
      <w:r>
        <w:rPr>
          <w:w w:val="98"/>
        </w:rPr>
        <w:t xml:space="preserve">  </w:t>
      </w:r>
      <w:r>
        <w:t>联合国危险性分类：NA</w:t>
      </w:r>
    </w:p>
    <w:p>
      <w:pPr>
        <w:pStyle w:val="3"/>
        <w:jc w:val="both"/>
      </w:pPr>
      <w:r>
        <w:rPr>
          <w:w w:val="92"/>
        </w:rPr>
        <w:t xml:space="preserve">  </w:t>
      </w:r>
      <w:r>
        <w:t>包装组：无资料</w:t>
      </w:r>
    </w:p>
    <w:p>
      <w:pPr>
        <w:pStyle w:val="3"/>
        <w:jc w:val="both"/>
      </w:pPr>
      <w:r>
        <w:rPr>
          <w:w w:val="93"/>
        </w:rPr>
        <w:t xml:space="preserve">  </w:t>
      </w:r>
      <w:r>
        <w:t>包装方法：无资料</w:t>
      </w:r>
    </w:p>
    <w:p>
      <w:pPr>
        <w:pStyle w:val="3"/>
        <w:spacing w:before="40"/>
        <w:jc w:val="both"/>
      </w:pPr>
      <w:r>
        <w:rPr>
          <w:w w:val="94"/>
        </w:rPr>
        <w:t xml:space="preserve">  </w:t>
      </w:r>
      <w:r>
        <w:t>海洋污染物（是/否）：无资料</w:t>
      </w:r>
    </w:p>
    <w:p>
      <w:pPr>
        <w:pStyle w:val="3"/>
        <w:spacing w:line="220" w:lineRule="exact"/>
        <w:jc w:val="both"/>
      </w:pPr>
      <w:r>
        <w:rPr>
          <w:w w:val="94"/>
        </w:rPr>
        <w:t xml:space="preserve">  </w:t>
      </w:r>
      <w:r>
        <w:t>运输注意事项：无资料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15.法规信息</w:t>
      </w:r>
    </w:p>
    <w:p>
      <w:pPr>
        <w:pStyle w:val="3"/>
        <w:jc w:val="both"/>
      </w:pPr>
      <w:r>
        <w:t>下列法律法规和标准，对化学品的安全使用、储存、运输、装卸、分类和标志等方面均作了相应的规定：</w:t>
      </w:r>
    </w:p>
    <w:p>
      <w:pPr>
        <w:pStyle w:val="3"/>
        <w:spacing w:before="40"/>
        <w:jc w:val="both"/>
      </w:pPr>
      <w:r>
        <w:rPr>
          <w:w w:val="88"/>
        </w:rPr>
        <w:t xml:space="preserve">        </w:t>
      </w:r>
      <w:r>
        <w:t>《危险化学品名录》（2015版）：未列入</w:t>
      </w:r>
    </w:p>
    <w:p>
      <w:pPr>
        <w:pStyle w:val="3"/>
        <w:jc w:val="both"/>
      </w:pPr>
      <w:r>
        <w:rPr>
          <w:w w:val="89"/>
        </w:rPr>
        <w:t xml:space="preserve">        </w:t>
      </w:r>
      <w:r>
        <w:t>《易制毒化学品名录》（2002版）：未列入</w:t>
      </w:r>
    </w:p>
    <w:p>
      <w:pPr>
        <w:pStyle w:val="3"/>
        <w:spacing w:before="40"/>
        <w:jc w:val="both"/>
      </w:pPr>
      <w:r>
        <w:rPr>
          <w:w w:val="90"/>
        </w:rPr>
        <w:t xml:space="preserve">        </w:t>
      </w:r>
      <w:r>
        <w:t>《易制爆危险化学品名录》（2011版）：未列入</w:t>
      </w:r>
    </w:p>
    <w:p>
      <w:pPr>
        <w:pStyle w:val="3"/>
        <w:jc w:val="both"/>
      </w:pPr>
      <w:r>
        <w:rPr>
          <w:w w:val="92"/>
        </w:rPr>
        <w:t xml:space="preserve">        </w:t>
      </w:r>
      <w:r>
        <w:t>化学品分类、警示标签和警示性说明规范系列标准（GB 20576～GB 20602）</w:t>
      </w:r>
    </w:p>
    <w:p>
      <w:pPr>
        <w:pStyle w:val="3"/>
        <w:spacing w:line="220" w:lineRule="exact"/>
        <w:jc w:val="both"/>
      </w:pPr>
      <w:r>
        <w:t>若适用，该化学品满足《危险化学品安全管理条例》(2011年2月16日国务院第591号令颁布)的要求。</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16.其他信息</w:t>
      </w:r>
    </w:p>
    <w:p>
      <w:pPr>
        <w:pStyle w:val="3"/>
        <w:spacing w:before="40"/>
        <w:jc w:val="both"/>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spacing w:before="40"/>
      </w:pPr>
      <w:r>
        <w:rPr>
          <w:w w:val="97"/>
        </w:rPr>
        <w:t xml:space="preserve">  </w:t>
      </w:r>
      <w:r>
        <w:t>修改说明：每5年修订一次或有国家新的相关法律法规出台时</w:t>
      </w:r>
    </w:p>
    <w:p>
      <w:pPr>
        <w:pStyle w:val="3"/>
        <w:spacing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6362700</wp:posOffset>
              </wp:positionH>
              <wp:positionV relativeFrom="page">
                <wp:posOffset>10225405</wp:posOffset>
              </wp:positionV>
              <wp:extent cx="304165"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4165" cy="20447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w w:val="110"/>
                              <w:sz w:val="24"/>
                            </w:rPr>
                            <w:instrText xml:space="preserve"> PAGE </w:instrText>
                          </w:r>
                          <w:r>
                            <w:fldChar w:fldCharType="separate"/>
                          </w:r>
                          <w:r>
                            <w:t>312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1pt;margin-top:805.15pt;height:16.1pt;width:23.95pt;mso-position-horizontal-relative:page;mso-position-vertical-relative:page;z-index:-251657216;mso-width-relative:page;mso-height-relative:page;" filled="f" stroked="f" coordsize="21600,21600" o:gfxdata="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7gWii2wAAAA8BAAAPAAAAAAAAAAEAIAAAACIAAABkcnMvZG93bnJldi54bWxQ&#10;SwECFAAUAAAACACHTuJAhkDO0LsBAABxAwAADgAAAAAAAAABACAAAAAqAQAAZHJzL2Uyb0RvYy54&#10;bWxQSwUGAAAAAAYABgBZAQAAVwUAAAAA&#1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w w:val="110"/>
                        <w:sz w:val="24"/>
                      </w:rPr>
                      <w:instrText xml:space="preserve"> PAGE </w:instrText>
                    </w:r>
                    <w:r>
                      <w:fldChar w:fldCharType="separate"/>
                    </w:r>
                    <w:r>
                      <w:t>312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684F1BDF"/>
    <w:rsid w:val="16047413"/>
    <w:rsid w:val="684F1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2023-11-02T09:45:00Z</dcterms:created>
  <dc:creator>刘文丹。</dc:creator>
  <cp:lastModifiedBy>刘文丹。</cp:lastModifiedBy>
  <dcterms:modified xsi:type="dcterms:W3CDTF">2023-11-02T09:46:01Z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D80895F9077D40A3933E8EE4278AF015_11</vt:lpwstr>
  </property>
</Properties>
</file>