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bookmarkStart w:id="0" w:name="_GoBack"/>
      <w:r>
        <w:t>氯化铬(Ⅲ)，六水</w:t>
      </w:r>
      <w:r>
        <w:rPr>
          <w:rFonts w:hint="eastAsia"/>
          <w:lang w:eastAsia="zh-CN"/>
        </w:rPr>
        <w:t>说明书</w:t>
      </w:r>
    </w:p>
    <w:bookmarkEnd w:id="0"/>
    <w:p>
      <w:pPr>
        <w:pStyle w:val="3"/>
        <w:spacing w:before="0"/>
      </w:pPr>
      <w:r>
        <w:t>1.化学品及企业标识</w:t>
      </w:r>
    </w:p>
    <w:p>
      <w:pPr>
        <w:pStyle w:val="3"/>
      </w:pPr>
      <w:r>
        <w:t>中文名：氯化铬(Ⅲ)，六水</w:t>
      </w:r>
    </w:p>
    <w:p>
      <w:pPr>
        <w:pStyle w:val="3"/>
        <w:spacing w:before="40" w:line="280" w:lineRule="auto"/>
        <w:ind w:right="7236"/>
      </w:pPr>
      <w:r>
        <w:rPr>
          <w:w w:val="90"/>
        </w:rPr>
        <w:t xml:space="preserve">英文名：Chromium(Ⅲ) chloride hexahydrate </w:t>
      </w:r>
      <w:r>
        <w:t>中文别名：氯化铬(Ⅲ)，六水；三氯化铬</w:t>
      </w:r>
    </w:p>
    <w:p>
      <w:pPr>
        <w:pStyle w:val="3"/>
        <w:spacing w:before="0" w:line="280" w:lineRule="auto"/>
        <w:ind w:right="5381"/>
      </w:pPr>
      <w:r>
        <w:rPr>
          <w:w w:val="90"/>
        </w:rPr>
        <w:t xml:space="preserve">英文别名：Chromium(Ⅲ) chloride hexahydrate;Chromium trichloride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CSDS10060-12-5 氯化铬(Ⅲ)，六水</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紧急情况概述：深绿色结晶粉末。吞咽有害。过量接触需采取特殊急救措施和进行医疗随访。本品不燃。根据着火原因选择适当</w:t>
      </w:r>
      <w:r>
        <w:t>灭火剂灭火。如必要的话,戴自给式呼吸器去救火。</w:t>
      </w:r>
    </w:p>
    <w:p>
      <w:pPr>
        <w:pStyle w:val="3"/>
        <w:spacing w:before="0"/>
      </w:pPr>
      <w:r>
        <w:rPr>
          <w:w w:val="96"/>
        </w:rPr>
        <w:t xml:space="preserve"> </w:t>
      </w:r>
      <w:r>
        <w:t>2.2 GHS危险性分类：急性毒性,经口（类别4）</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0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7"/>
        </w:rPr>
        <w:t xml:space="preserve"> </w:t>
      </w:r>
      <w:r>
        <w:t>危险信息：吞咽有害。</w:t>
      </w:r>
    </w:p>
    <w:p>
      <w:pPr>
        <w:pStyle w:val="3"/>
      </w:pPr>
      <w:r>
        <w:rPr>
          <w:w w:val="99"/>
        </w:rPr>
        <w:t xml:space="preserve"> </w:t>
      </w:r>
      <w:r>
        <w:t>预防措施：操作后彻底清洁皮肤。使用本产品时不要进食、饮水或吸烟。</w:t>
      </w:r>
    </w:p>
    <w:p>
      <w:pPr>
        <w:pStyle w:val="3"/>
        <w:spacing w:before="40"/>
      </w:pPr>
      <w:r>
        <w:rPr>
          <w:w w:val="98"/>
        </w:rPr>
        <w:t xml:space="preserve"> </w:t>
      </w:r>
      <w:r>
        <w:t>事故响应：如果吞下去了:如感觉不适。呼救解毒中心或看医生。漱口。</w:t>
      </w:r>
    </w:p>
    <w:p>
      <w:pPr>
        <w:pStyle w:val="3"/>
      </w:pPr>
      <w:r>
        <w:rPr>
          <w:w w:val="96"/>
        </w:rPr>
        <w:t xml:space="preserve"> </w:t>
      </w:r>
      <w:r>
        <w:t>安全存储：不适用。</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pPr>
      <w:r>
        <w:rPr>
          <w:w w:val="92"/>
        </w:rPr>
        <w:t xml:space="preserve"> </w:t>
      </w:r>
      <w:r>
        <w:t>2.5 健康危害：吞咽有害。</w:t>
      </w:r>
    </w:p>
    <w:p>
      <w:pPr>
        <w:pStyle w:val="3"/>
        <w:spacing w:before="4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主要成分：氯化铬，六水</w:t>
      </w:r>
      <w:r>
        <w:tab/>
      </w:r>
      <w:r>
        <w:rPr>
          <w:w w:val="95"/>
        </w:rPr>
        <w:t>10060-12-5</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7"/>
        </w:rPr>
        <w:t xml:space="preserve"> </w:t>
      </w:r>
      <w:r>
        <w:t>4.2 主要症状和影响，急性和迟发效应：据我们所知，此化学，物理和毒性性质尚未经完整的研究。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pgSz w:w="11900" w:h="16840"/>
          <w:pgMar w:top="760" w:right="600" w:bottom="700" w:left="620" w:header="0" w:footer="509" w:gutter="0"/>
          <w:cols w:space="720" w:num="1"/>
        </w:sectPr>
      </w:pPr>
    </w:p>
    <w:p>
      <w:pPr>
        <w:pStyle w:val="3"/>
        <w:spacing w:before="50"/>
      </w:pPr>
      <w:r>
        <w:t>5.消防措施</w:t>
      </w:r>
    </w:p>
    <w:p>
      <w:pPr>
        <w:pStyle w:val="3"/>
      </w:pPr>
      <w:r>
        <w:rPr>
          <w:w w:val="93"/>
        </w:rPr>
        <w:t xml:space="preserve"> </w:t>
      </w:r>
      <w:r>
        <w:t>5.1 特别危险性描述：无资料</w:t>
      </w:r>
    </w:p>
    <w:p>
      <w:pPr>
        <w:pStyle w:val="3"/>
      </w:pPr>
      <w:r>
        <w:rPr>
          <w:w w:val="97"/>
        </w:rPr>
        <w:t xml:space="preserve"> </w:t>
      </w:r>
      <w:r>
        <w:t>5.2 灭火方法或灭火剂：本品不燃。根据着火原因选择适当灭火剂灭火。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1"/>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7.操作处置与储存</w:t>
      </w:r>
    </w:p>
    <w:p>
      <w:pPr>
        <w:pStyle w:val="3"/>
      </w:pPr>
      <w:r>
        <w:rPr>
          <w:w w:val="97"/>
        </w:rPr>
        <w:t xml:space="preserve"> </w:t>
      </w:r>
      <w:r>
        <w:t>7.1 安全处置注意事项：避免接触皮肤和眼睛。防止粉尘和气溶胶生成。在有粉尘生成的地方,提供合适的排风设备。</w:t>
      </w:r>
    </w:p>
    <w:p>
      <w:pPr>
        <w:pStyle w:val="3"/>
        <w:spacing w:line="280" w:lineRule="auto"/>
        <w:ind w:right="214"/>
      </w:pPr>
      <w:r>
        <w:rPr>
          <w:w w:val="98"/>
        </w:rPr>
        <w:t xml:space="preserve"> </w:t>
      </w:r>
      <w:r>
        <w:rPr>
          <w:w w:val="95"/>
        </w:rPr>
        <w:t>7.2   安全储存注意事项：储存于阴凉、通风的库房。远离火种、热源。防止阳光直射。包装必须密封，切勿受潮。应与氧化剂等分开</w:t>
      </w:r>
      <w:r>
        <w:t>存放，切忌混储。储区应备有合适的材料收容泄漏物。</w:t>
      </w:r>
    </w:p>
    <w:p>
      <w:pPr>
        <w:pStyle w:val="3"/>
        <w:spacing w:before="1" w:line="220" w:lineRule="exact"/>
      </w:pPr>
      <w:r>
        <w:rPr>
          <w:w w:val="91"/>
        </w:rPr>
        <w:t xml:space="preserve"> </w:t>
      </w:r>
      <w:r>
        <w:t>7.3 不兼容性：氧化剂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1"/>
        </w:rPr>
        <w:t xml:space="preserve"> </w:t>
      </w:r>
      <w:r>
        <w:t>TLV-TWA(mg/m3)：0.5[按Cr计]</w:t>
      </w:r>
    </w:p>
    <w:p>
      <w:pPr>
        <w:pStyle w:val="3"/>
        <w:spacing w:before="40"/>
      </w:pPr>
      <w:r>
        <w:rPr>
          <w:w w:val="105"/>
        </w:rPr>
        <w:t xml:space="preserve"> PC-TWA(mg/m3)：无资料</w:t>
      </w:r>
    </w:p>
    <w:p>
      <w:pPr>
        <w:pStyle w:val="3"/>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7"/>
        </w:rPr>
        <w:t xml:space="preserve"> </w:t>
      </w:r>
      <w:r>
        <w:t>8.2 检测方法：火焰原子吸收光谱法；二苯碳酰二肼分光光度法；三价铬和六价铬的分别测定。</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spacing w:before="40"/>
      </w:pPr>
      <w:r>
        <w:rPr>
          <w:w w:val="91"/>
        </w:rPr>
        <w:t xml:space="preserve">     </w:t>
      </w:r>
      <w:r>
        <w:t>眼睛防护：戴化学安全防护眼镜。</w:t>
      </w:r>
    </w:p>
    <w:p>
      <w:pPr>
        <w:pStyle w:val="3"/>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外观与性状：暗绿色结晶或结晶性粉末，具吸湿性。</w:t>
      </w:r>
      <w:r>
        <w:tab/>
      </w:r>
      <w:r>
        <w:t>气味：无资料</w:t>
      </w:r>
    </w:p>
    <w:p>
      <w:pPr>
        <w:pStyle w:val="3"/>
        <w:tabs>
          <w:tab w:val="left" w:pos="6415"/>
        </w:tabs>
        <w:spacing w:before="8"/>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熔点/凝固点(℃)：83℃</w:t>
      </w:r>
      <w:r>
        <w:rPr>
          <w:w w:val="95"/>
        </w:rPr>
        <w:tab/>
      </w:r>
      <w:r>
        <w:t>沸点、初沸点、沸程(℃)：无资料</w:t>
      </w:r>
    </w:p>
    <w:p>
      <w:pPr>
        <w:pStyle w:val="3"/>
        <w:tabs>
          <w:tab w:val="left" w:pos="6415"/>
        </w:tabs>
        <w:spacing w:before="8"/>
        <w:ind w:left="140"/>
      </w:pPr>
      <w:r>
        <w:rPr>
          <w:w w:val="95"/>
        </w:rPr>
        <w:t>密度/相对密度(水=1)：ρ(25)1.76g/mL</w:t>
      </w:r>
      <w:r>
        <w:rPr>
          <w:w w:val="95"/>
        </w:rPr>
        <w:tab/>
      </w:r>
      <w:r>
        <w:t>蒸汽密度(空气=1)：无资料</w:t>
      </w:r>
    </w:p>
    <w:p>
      <w:pPr>
        <w:pStyle w:val="3"/>
        <w:tabs>
          <w:tab w:val="left" w:pos="6415"/>
        </w:tabs>
        <w:spacing w:before="7"/>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闪点(℃)：NA</w:t>
      </w:r>
    </w:p>
    <w:p>
      <w:pPr>
        <w:pStyle w:val="3"/>
        <w:tabs>
          <w:tab w:val="left" w:pos="6415"/>
        </w:tabs>
        <w:spacing w:before="8"/>
        <w:ind w:left="140"/>
      </w:pPr>
      <w:r>
        <w:t>自燃温度(℃)：无资料</w:t>
      </w:r>
      <w:r>
        <w:tab/>
      </w:r>
      <w:r>
        <w:t>爆炸上限%（V/V）：无资料</w:t>
      </w:r>
    </w:p>
    <w:p>
      <w:pPr>
        <w:pStyle w:val="3"/>
        <w:tabs>
          <w:tab w:val="left" w:pos="6415"/>
        </w:tabs>
        <w:spacing w:before="7"/>
        <w:ind w:left="140"/>
      </w:pPr>
      <w:r>
        <w:t>溶解性：溶于水、乙醇，微溶于丙酮，不溶于乙醚。</w:t>
      </w:r>
      <w:r>
        <w:tab/>
      </w:r>
      <w:r>
        <w:t>爆炸下限%（V/V）：无资料</w:t>
      </w:r>
    </w:p>
    <w:p>
      <w:pPr>
        <w:pStyle w:val="3"/>
        <w:tabs>
          <w:tab w:val="left" w:pos="6415"/>
        </w:tabs>
        <w:spacing w:before="8"/>
        <w:ind w:left="140"/>
      </w:pPr>
      <w:r>
        <w:t>易燃性（固体、气体）：无资料</w:t>
      </w:r>
      <w:r>
        <w:tab/>
      </w:r>
      <w:r>
        <w:t>蒸发速率：无资料</w:t>
      </w:r>
    </w:p>
    <w:p>
      <w:pPr>
        <w:spacing w:before="20"/>
        <w:ind w:left="100" w:right="0" w:firstLine="0"/>
        <w:jc w:val="left"/>
        <w:rPr>
          <w:sz w:val="6"/>
        </w:rPr>
      </w:pPr>
      <w:r>
        <w:rPr>
          <w:w w:val="41"/>
          <w:sz w:val="6"/>
        </w:rPr>
        <w:t xml:space="preserve"> </w:t>
      </w:r>
    </w:p>
    <w:p>
      <w:pPr>
        <w:pStyle w:val="3"/>
        <w:spacing w:before="8"/>
        <w:ind w:left="0"/>
        <w:rPr>
          <w:sz w:val="5"/>
        </w:rPr>
      </w:pPr>
    </w:p>
    <w:p>
      <w:pPr>
        <w:pStyle w:val="3"/>
        <w:spacing w:before="1"/>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3"/>
        </w:rPr>
        <w:t xml:space="preserve"> </w:t>
      </w:r>
      <w:r>
        <w:t>10.3 应避免的条件：潮湿空气</w:t>
      </w:r>
    </w:p>
    <w:p>
      <w:pPr>
        <w:pStyle w:val="3"/>
      </w:pPr>
      <w:r>
        <w:rPr>
          <w:w w:val="94"/>
        </w:rPr>
        <w:t xml:space="preserve"> </w:t>
      </w:r>
      <w:r>
        <w:t>10.4 不相容物质：强氧化剂、水蒸汽。</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11.毒理学信息</w:t>
      </w:r>
    </w:p>
    <w:p>
      <w:pPr>
        <w:pStyle w:val="3"/>
      </w:pPr>
      <w:r>
        <w:rPr>
          <w:w w:val="93"/>
        </w:rPr>
        <w:t xml:space="preserve"> </w:t>
      </w:r>
      <w:r>
        <w:t>11.1 急性毒性：半致死剂量(LD50)经口-大鼠-1,790mg/kg</w:t>
      </w:r>
    </w:p>
    <w:p>
      <w:pPr>
        <w:pStyle w:val="3"/>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spacing w:after="0"/>
        <w:sectPr>
          <w:pgSz w:w="11900" w:h="16840"/>
          <w:pgMar w:top="760" w:right="600" w:bottom="700" w:left="620" w:header="0" w:footer="509" w:gutter="0"/>
          <w:cols w:space="720" w:num="1"/>
        </w:sectPr>
      </w:pPr>
    </w:p>
    <w:p>
      <w:pPr>
        <w:pStyle w:val="3"/>
        <w:spacing w:before="50"/>
        <w:jc w:val="both"/>
      </w:pPr>
      <w:r>
        <w:rPr>
          <w:w w:val="93"/>
        </w:rPr>
        <w:t xml:space="preserve"> </w:t>
      </w:r>
      <w:r>
        <w:t>11.5 生殖细胞突变性：无资料</w:t>
      </w:r>
    </w:p>
    <w:p>
      <w:pPr>
        <w:pStyle w:val="3"/>
        <w:jc w:val="both"/>
      </w:pPr>
      <w:r>
        <w:rPr>
          <w:w w:val="98"/>
        </w:rPr>
        <w:t xml:space="preserve"> </w:t>
      </w:r>
      <w:r>
        <w:t>11.6 致癌性：美国工业卫生会议(ACGIH)：未分类为人类致癌物。</w:t>
      </w:r>
    </w:p>
    <w:p>
      <w:pPr>
        <w:pStyle w:val="3"/>
        <w:jc w:val="both"/>
      </w:pPr>
      <w:r>
        <w:rPr>
          <w:w w:val="97"/>
        </w:rPr>
        <w:t xml:space="preserve"> </w:t>
      </w:r>
      <w:r>
        <w:rPr>
          <w:w w:val="95"/>
        </w:rPr>
        <w:t>11.7 生殖毒性：小鼠腹腔内最低中毒剂量(TDL0)：134mg/kg(孕8天)，胚胎细胞学改变(包括体细胞遗传物质)；中枢神经系统发育异常</w:t>
      </w:r>
    </w:p>
    <w:p>
      <w:pPr>
        <w:pStyle w:val="3"/>
        <w:spacing w:before="40"/>
        <w:jc w:val="both"/>
      </w:pPr>
      <w:r>
        <w:t>。</w:t>
      </w:r>
    </w:p>
    <w:p>
      <w:pPr>
        <w:pStyle w:val="3"/>
        <w:jc w:val="both"/>
      </w:pPr>
      <w:r>
        <w:rPr>
          <w:w w:val="95"/>
        </w:rPr>
        <w:t xml:space="preserve"> 11.8 特异性靶器官系统毒性（一次接触）：无资料</w:t>
      </w:r>
    </w:p>
    <w:p>
      <w:pPr>
        <w:pStyle w:val="3"/>
        <w:spacing w:before="40"/>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8"/>
        </w:rPr>
        <w:t xml:space="preserve"> </w:t>
      </w:r>
      <w:r>
        <w:t>吸入：吸入可能有害。可能引起呼吸道刺激。</w:t>
      </w:r>
    </w:p>
    <w:p>
      <w:pPr>
        <w:pStyle w:val="3"/>
        <w:jc w:val="both"/>
      </w:pPr>
      <w:r>
        <w:rPr>
          <w:w w:val="97"/>
        </w:rPr>
        <w:t xml:space="preserve"> </w:t>
      </w:r>
      <w:r>
        <w:t>摄入：如服入是有害的。</w:t>
      </w:r>
    </w:p>
    <w:p>
      <w:pPr>
        <w:pStyle w:val="3"/>
        <w:jc w:val="both"/>
      </w:pPr>
      <w:r>
        <w:rPr>
          <w:w w:val="98"/>
        </w:rPr>
        <w:t xml:space="preserve"> </w:t>
      </w:r>
      <w:r>
        <w:t>皮肤：如果通过皮肤吸收可能是有害的。造成皮肤刺激。</w:t>
      </w:r>
    </w:p>
    <w:p>
      <w:pPr>
        <w:pStyle w:val="3"/>
        <w:spacing w:before="40" w:line="220" w:lineRule="exact"/>
        <w:jc w:val="both"/>
      </w:pPr>
      <w:r>
        <w:rPr>
          <w:w w:val="97"/>
        </w:rPr>
        <w:t xml:space="preserve"> </w:t>
      </w:r>
      <w:r>
        <w:t>眼睛：造成严重眼刺激。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7"/>
        </w:rPr>
        <w:t xml:space="preserve"> </w:t>
      </w:r>
      <w:r>
        <w:t>12.5 其它不良影响：该物质对环境有危害，建议不要让其进入环境。应特别注意对水体的污染。</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spacing w:before="40"/>
        <w:jc w:val="both"/>
      </w:pPr>
      <w:r>
        <w:rPr>
          <w:w w:val="98"/>
        </w:rPr>
        <w:t xml:space="preserve">  </w:t>
      </w:r>
      <w:r>
        <w:t>联合国危险性分类：NA</w:t>
      </w:r>
    </w:p>
    <w:p>
      <w:pPr>
        <w:pStyle w:val="3"/>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077C053F"/>
    <w:rsid w:val="077C053F"/>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2023-11-02T09:03:00Z</dcterms:created>
  <dc:creator>刘文丹。</dc:creator>
  <cp:lastModifiedBy>刘文丹。</cp:lastModifiedBy>
  <dcterms:modified xsi:type="dcterms:W3CDTF">2023-11-02T09:03:39Z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FD56610344BD43C592E09E8F3799CBA7_11</vt:lpwstr>
  </property>
</Properties>
</file>