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硫酸银</w:t>
      </w:r>
      <w:r>
        <w:rPr>
          <w:rFonts w:hint="eastAsia"/>
          <w:lang w:eastAsia="zh-CN"/>
        </w:rPr>
        <w:t>说明书</w:t>
      </w:r>
    </w:p>
    <w:bookmarkEnd w:id="0"/>
    <w:p>
      <w:pPr>
        <w:pStyle w:val="3"/>
        <w:spacing w:before="0" w:line="280" w:lineRule="auto"/>
        <w:ind w:right="9013"/>
      </w:pPr>
      <w:r>
        <w:rPr>
          <w:w w:val="95"/>
        </w:rPr>
        <w:t>1.化学品及企业标识</w:t>
      </w:r>
      <w:r>
        <w:t>中文名：硫酸银</w:t>
      </w:r>
    </w:p>
    <w:p>
      <w:pPr>
        <w:pStyle w:val="3"/>
        <w:spacing w:before="0" w:line="280" w:lineRule="auto"/>
        <w:ind w:right="8994"/>
      </w:pPr>
      <w:r>
        <w:rPr>
          <w:w w:val="80"/>
        </w:rPr>
        <w:t xml:space="preserve">英文名：Silver sulfate </w:t>
      </w:r>
      <w:r>
        <w:t>中文别名：硫酸银</w:t>
      </w:r>
    </w:p>
    <w:p>
      <w:pPr>
        <w:pStyle w:val="3"/>
        <w:spacing w:before="1"/>
      </w:pPr>
      <w:r>
        <w:rPr>
          <w:w w:val="90"/>
        </w:rPr>
        <w:t>英文别名：Silver sulfate</w:t>
      </w:r>
    </w:p>
    <w:p>
      <w:pPr>
        <w:pStyle w:val="3"/>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CSDS10294-26-5 硫酸银</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紧急情况概述：白色结晶造成严重眼损伤。对水生生物毒性极大并具有长期持续影响。过量接触需采取特殊急救措施和进行医疗</w:t>
      </w:r>
      <w:r>
        <w:t>随访。用水雾,耐醇泡沫,干粉或二氧化碳灭火。如必要的话,戴自给式呼吸器去救火。</w:t>
      </w:r>
    </w:p>
    <w:p>
      <w:pPr>
        <w:pStyle w:val="3"/>
        <w:spacing w:before="0"/>
      </w:pPr>
      <w:r>
        <w:rPr>
          <w:w w:val="98"/>
        </w:rPr>
        <w:t xml:space="preserve"> </w:t>
      </w:r>
      <w:r>
        <w:t>2.2 GHS危险性分类：严重眼睛损伤（类别1）急性水生毒性（类别1）慢性水生毒性（类别1）</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464185</wp:posOffset>
            </wp:positionH>
            <wp:positionV relativeFrom="paragraph">
              <wp:posOffset>189865</wp:posOffset>
            </wp:positionV>
            <wp:extent cx="754380" cy="762000"/>
            <wp:effectExtent l="0" t="0" r="7620" b="0"/>
            <wp:wrapTopAndBottom/>
            <wp:docPr id="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jpeg"/>
                    <pic:cNvPicPr>
                      <a:picLocks noChangeAspect="1"/>
                    </pic:cNvPicPr>
                  </pic:nvPicPr>
                  <pic:blipFill>
                    <a:blip r:embed="rId6"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10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3.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危险信息：造成严重眼损伤。对水生生物毒性极大并具有长期持续影响。</w:t>
      </w:r>
    </w:p>
    <w:p>
      <w:pPr>
        <w:pStyle w:val="3"/>
      </w:pPr>
      <w:r>
        <w:rPr>
          <w:w w:val="97"/>
        </w:rPr>
        <w:t xml:space="preserve"> </w:t>
      </w:r>
      <w:r>
        <w:t>预防措施：避免释放到环境中。戴护目镜/戴面罩</w:t>
      </w:r>
    </w:p>
    <w:p>
      <w:pPr>
        <w:pStyle w:val="3"/>
        <w:spacing w:before="40" w:line="280" w:lineRule="auto"/>
        <w:ind w:right="280"/>
      </w:pPr>
      <w:r>
        <w:rPr>
          <w:w w:val="99"/>
        </w:rPr>
        <w:t xml:space="preserve"> </w:t>
      </w:r>
      <w:r>
        <w:rPr>
          <w:spacing w:val="-1"/>
          <w:w w:val="95"/>
        </w:rPr>
        <w:t xml:space="preserve">事故响应：如与眼睛接触。用水缓慢温和地冲洗几分钟。如戴隐形眼镜并可方便地取出。取出隐形眼镜。然后继续冲洗。立即呼叫     </w:t>
      </w:r>
      <w:r>
        <w:t>中毒控制中心或医生。收集溢出物。</w:t>
      </w:r>
    </w:p>
    <w:p>
      <w:pPr>
        <w:pStyle w:val="3"/>
        <w:spacing w:before="0"/>
      </w:pPr>
      <w:r>
        <w:rPr>
          <w:w w:val="96"/>
        </w:rPr>
        <w:t xml:space="preserve"> </w:t>
      </w:r>
      <w:r>
        <w:t>安全存储：不适用</w:t>
      </w:r>
    </w:p>
    <w:p>
      <w:pPr>
        <w:pStyle w:val="3"/>
        <w:spacing w:before="40"/>
      </w:pPr>
      <w:r>
        <w:rPr>
          <w:w w:val="96"/>
        </w:rPr>
        <w:t xml:space="preserve"> </w:t>
      </w:r>
      <w:r>
        <w:t>废弃处置：按照地方/区域/国家/国际规章处置内装物/容器。</w:t>
      </w:r>
    </w:p>
    <w:p>
      <w:pPr>
        <w:pStyle w:val="3"/>
      </w:pPr>
      <w:r>
        <w:rPr>
          <w:w w:val="94"/>
        </w:rPr>
        <w:t xml:space="preserve"> </w:t>
      </w:r>
      <w:r>
        <w:rPr>
          <w:w w:val="95"/>
        </w:rPr>
        <w:t>2.4</w:t>
      </w:r>
      <w:r>
        <w:rPr>
          <w:spacing w:val="-5"/>
          <w:w w:val="95"/>
        </w:rPr>
        <w:t xml:space="preserve"> 物理化学危险性信息：不适用</w:t>
      </w:r>
    </w:p>
    <w:p>
      <w:pPr>
        <w:pStyle w:val="3"/>
      </w:pPr>
      <w:r>
        <w:rPr>
          <w:w w:val="94"/>
        </w:rPr>
        <w:t xml:space="preserve"> </w:t>
      </w:r>
      <w:r>
        <w:rPr>
          <w:w w:val="95"/>
        </w:rPr>
        <w:t>2.5</w:t>
      </w:r>
      <w:r>
        <w:rPr>
          <w:spacing w:val="-5"/>
          <w:w w:val="95"/>
        </w:rPr>
        <w:t xml:space="preserve"> 健康危害：造成严重眼损伤。</w:t>
      </w:r>
    </w:p>
    <w:p>
      <w:pPr>
        <w:pStyle w:val="3"/>
        <w:spacing w:before="40"/>
      </w:pPr>
      <w:r>
        <w:rPr>
          <w:w w:val="96"/>
        </w:rPr>
        <w:t xml:space="preserve"> </w:t>
      </w:r>
      <w:r>
        <w:t>2.6 环境危害：对水生生物毒性极大并具有长期持续影响。</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主要成分：硫酸银</w:t>
      </w:r>
      <w:r>
        <w:tab/>
      </w:r>
      <w:r>
        <w:rPr>
          <w:w w:val="95"/>
        </w:rPr>
        <w:t>10294-26-5</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spacing w:before="40"/>
      </w:pPr>
      <w:r>
        <w:rPr>
          <w:w w:val="96"/>
        </w:rPr>
        <w:t xml:space="preserve">     </w:t>
      </w:r>
      <w:r>
        <w:t>食入：禁止催吐。切勿给失去知觉者从嘴里喂食任何东西。用水漱口。请教医生。</w:t>
      </w:r>
    </w:p>
    <w:p>
      <w:pPr>
        <w:pStyle w:val="3"/>
      </w:pPr>
      <w:r>
        <w:rPr>
          <w:w w:val="97"/>
        </w:rPr>
        <w:t xml:space="preserve"> </w:t>
      </w:r>
      <w:r>
        <w:rPr>
          <w:w w:val="95"/>
        </w:rPr>
        <w:t>4.2 主要症状和影响，急性和迟发效应：可能引起银中毒(由于银引起不溶性的白朊化物沉积导致皮肤和深层组织呈蓝色或蓝灰色),据</w:t>
      </w:r>
    </w:p>
    <w:p>
      <w:pPr>
        <w:spacing w:after="0"/>
        <w:sectPr>
          <w:pgSz w:w="11900" w:h="16840"/>
          <w:pgMar w:top="760" w:right="600" w:bottom="700" w:left="620" w:header="0" w:footer="509" w:gutter="0"/>
          <w:cols w:space="720" w:num="1"/>
        </w:sectPr>
      </w:pPr>
    </w:p>
    <w:p>
      <w:pPr>
        <w:pStyle w:val="3"/>
        <w:spacing w:before="50"/>
      </w:pPr>
      <w:r>
        <w:t>我们所知，此化学，物理和毒性性质尚未经完整的研究。</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0"/>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7"/>
        </w:rPr>
        <w:t xml:space="preserve"> </w:t>
      </w:r>
      <w:r>
        <w:t>7.1 安全处置注意事项：避免形成粉尘和气溶胶。在有粉尘生成的地方,提供合适的排风设备。</w:t>
      </w:r>
    </w:p>
    <w:p>
      <w:pPr>
        <w:pStyle w:val="3"/>
        <w:spacing w:before="40"/>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不兼容性：强氧化剂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手防护：戴耐酸碱手套。</w:t>
      </w:r>
    </w:p>
    <w:p>
      <w:pPr>
        <w:pStyle w:val="3"/>
      </w:pPr>
      <w:r>
        <w:rPr>
          <w:w w:val="91"/>
        </w:rPr>
        <w:t xml:space="preserve">     </w:t>
      </w:r>
      <w:r>
        <w:rPr>
          <w:w w:val="90"/>
        </w:rPr>
        <w:t>眼睛防护：戴防腐蚀液护目镜/面罩。</w:t>
      </w:r>
    </w:p>
    <w:p>
      <w:pPr>
        <w:pStyle w:val="3"/>
      </w:pPr>
      <w:r>
        <w:rPr>
          <w:w w:val="92"/>
        </w:rPr>
        <w:t xml:space="preserve">     </w:t>
      </w:r>
      <w:r>
        <w:rPr>
          <w:w w:val="90"/>
        </w:rP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外观与性状：无色结晶或白色结晶性粉末，对光敏感。</w:t>
      </w:r>
      <w:r>
        <w:tab/>
      </w:r>
      <w:r>
        <w:t>气味：无资料</w:t>
      </w:r>
    </w:p>
    <w:p>
      <w:pPr>
        <w:pStyle w:val="3"/>
        <w:tabs>
          <w:tab w:val="left" w:pos="6415"/>
        </w:tabs>
        <w:spacing w:before="7"/>
        <w:ind w:left="140"/>
      </w:pPr>
      <w:r>
        <w:t>气味阈值：无资料</w:t>
      </w:r>
      <w:r>
        <w:tab/>
      </w:r>
      <w:r>
        <w:t>pH：5-6(5g/L,H2O,25℃)</w:t>
      </w:r>
    </w:p>
    <w:p>
      <w:pPr>
        <w:pStyle w:val="3"/>
        <w:tabs>
          <w:tab w:val="left" w:pos="6415"/>
        </w:tabs>
        <w:spacing w:before="8"/>
        <w:ind w:left="140"/>
      </w:pPr>
      <w:r>
        <w:rPr>
          <w:w w:val="95"/>
        </w:rPr>
        <w:t>熔点/凝固点(℃)：652-655℃</w:t>
      </w:r>
      <w:r>
        <w:rPr>
          <w:w w:val="95"/>
        </w:rPr>
        <w:tab/>
      </w:r>
      <w:r>
        <w:t>沸点、初沸点、沸程(℃)：无资料</w:t>
      </w:r>
    </w:p>
    <w:p>
      <w:pPr>
        <w:pStyle w:val="3"/>
        <w:tabs>
          <w:tab w:val="left" w:pos="6415"/>
        </w:tabs>
        <w:spacing w:before="8"/>
        <w:ind w:left="140"/>
      </w:pPr>
      <w:r>
        <w:rPr>
          <w:w w:val="95"/>
        </w:rPr>
        <w:t>密度/相对密度(水=1)：ρ(20)5.45g/mL</w:t>
      </w:r>
      <w:r>
        <w:rPr>
          <w:w w:val="95"/>
        </w:rP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t>闪点(℃)：NA</w:t>
      </w:r>
    </w:p>
    <w:p>
      <w:pPr>
        <w:pStyle w:val="3"/>
        <w:tabs>
          <w:tab w:val="left" w:pos="6415"/>
        </w:tabs>
        <w:spacing w:before="8"/>
        <w:ind w:left="140"/>
      </w:pPr>
      <w:r>
        <w:t>自燃温度(℃)：无资料</w:t>
      </w:r>
      <w:r>
        <w:tab/>
      </w:r>
      <w:r>
        <w:t>爆炸上限%（V/V）：无资料</w:t>
      </w:r>
    </w:p>
    <w:p>
      <w:pPr>
        <w:spacing w:after="0"/>
        <w:sectPr>
          <w:pgSz w:w="11900" w:h="16840"/>
          <w:pgMar w:top="760" w:right="600" w:bottom="700" w:left="620" w:header="0" w:footer="509" w:gutter="0"/>
          <w:cols w:space="720" w:num="1"/>
        </w:sectPr>
      </w:pPr>
    </w:p>
    <w:p>
      <w:pPr>
        <w:pStyle w:val="3"/>
        <w:spacing w:before="48" w:line="187" w:lineRule="auto"/>
        <w:ind w:left="140"/>
      </w:pPr>
      <w:r>
        <w:rPr>
          <w:w w:val="95"/>
        </w:rPr>
        <w:t>溶解性：溶于硝酸、氨水和浓硫酸，慢慢地溶于125份水和71</w:t>
      </w:r>
      <w:r>
        <w:rPr>
          <w:spacing w:val="-3"/>
          <w:w w:val="95"/>
        </w:rPr>
        <w:t xml:space="preserve">份沸水，不溶于乙  </w:t>
      </w:r>
      <w:r>
        <w:t>醇。</w:t>
      </w:r>
    </w:p>
    <w:p>
      <w:pPr>
        <w:pStyle w:val="3"/>
        <w:spacing w:before="8"/>
        <w:ind w:left="60"/>
      </w:pPr>
      <w:r>
        <w:br w:type="column"/>
      </w:r>
      <w:r>
        <w:rPr>
          <w:w w:val="105"/>
        </w:rPr>
        <w:t>爆炸下限%（V/V）：无资料</w:t>
      </w:r>
    </w:p>
    <w:p>
      <w:pPr>
        <w:spacing w:after="0"/>
        <w:sectPr>
          <w:type w:val="continuous"/>
          <w:pgSz w:w="11900" w:h="16840"/>
          <w:pgMar w:top="1580" w:right="600" w:bottom="1180" w:left="620" w:header="720" w:footer="720" w:gutter="0"/>
          <w:cols w:equalWidth="0" w:num="2">
            <w:col w:w="6316" w:space="40"/>
            <w:col w:w="4324"/>
          </w:cols>
        </w:sectPr>
      </w:pPr>
    </w:p>
    <w:p>
      <w:pPr>
        <w:pStyle w:val="3"/>
        <w:tabs>
          <w:tab w:val="left" w:pos="6415"/>
        </w:tabs>
        <w:spacing w:before="19"/>
        <w:ind w:left="140"/>
      </w:pPr>
      <w:r>
        <w:t>易燃性（固体、气体）：无资料</w:t>
      </w:r>
      <w:r>
        <w:tab/>
      </w:r>
      <w:r>
        <w:t>蒸发速率：无资料</w:t>
      </w:r>
    </w:p>
    <w:p>
      <w:pPr>
        <w:pStyle w:val="3"/>
        <w:spacing w:before="169"/>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t>10.3 应避免的条件：无资料</w:t>
      </w:r>
    </w:p>
    <w:p>
      <w:pPr>
        <w:pStyle w:val="3"/>
      </w:pPr>
      <w:r>
        <w:rPr>
          <w:w w:val="93"/>
        </w:rPr>
        <w:t xml:space="preserve"> </w:t>
      </w:r>
      <w:r>
        <w:rPr>
          <w:w w:val="95"/>
        </w:rPr>
        <w:t>10.4</w:t>
      </w:r>
      <w:r>
        <w:rPr>
          <w:spacing w:val="-7"/>
          <w:w w:val="95"/>
        </w:rPr>
        <w:t xml:space="preserve"> 不相容物质：强氧化物。</w:t>
      </w:r>
    </w:p>
    <w:p>
      <w:pPr>
        <w:pStyle w:val="3"/>
        <w:spacing w:before="40"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4"/>
        </w:rPr>
        <w:t xml:space="preserve"> </w:t>
      </w:r>
      <w:r>
        <w:t>11.2 皮肤刺激或腐蚀：皮肤-兔子-无皮肤刺激</w:t>
      </w:r>
    </w:p>
    <w:p>
      <w:pPr>
        <w:spacing w:after="0"/>
        <w:sectPr>
          <w:type w:val="continuous"/>
          <w:pgSz w:w="11900" w:h="16840"/>
          <w:pgMar w:top="1580" w:right="600" w:bottom="1180" w:left="620" w:header="720" w:footer="720" w:gutter="0"/>
          <w:cols w:space="720" w:num="1"/>
        </w:sectPr>
      </w:pPr>
    </w:p>
    <w:p>
      <w:pPr>
        <w:pStyle w:val="3"/>
        <w:spacing w:before="50"/>
        <w:jc w:val="both"/>
      </w:pPr>
      <w:r>
        <w:rPr>
          <w:w w:val="95"/>
        </w:rPr>
        <w:t xml:space="preserve"> </w:t>
      </w:r>
      <w:r>
        <w:t>11.3 眼睛刺激和腐蚀：眼睛-兔子-可对眼睛造成严重损伤</w:t>
      </w:r>
    </w:p>
    <w:p>
      <w:pPr>
        <w:pStyle w:val="3"/>
        <w:jc w:val="both"/>
      </w:pPr>
      <w:r>
        <w:rPr>
          <w:w w:val="93"/>
        </w:rPr>
        <w:t xml:space="preserve"> </w:t>
      </w:r>
      <w:r>
        <w:rPr>
          <w:w w:val="95"/>
        </w:rPr>
        <w:t>11.4</w:t>
      </w:r>
      <w:r>
        <w:rPr>
          <w:spacing w:val="-7"/>
          <w:w w:val="95"/>
        </w:rPr>
        <w:t xml:space="preserve"> 呼吸或皮肤过敏：无资料</w:t>
      </w:r>
    </w:p>
    <w:p>
      <w:pPr>
        <w:pStyle w:val="3"/>
        <w:jc w:val="both"/>
      </w:pPr>
      <w:r>
        <w:rPr>
          <w:w w:val="93"/>
        </w:rPr>
        <w:t xml:space="preserve"> </w:t>
      </w:r>
      <w:r>
        <w:rPr>
          <w:w w:val="95"/>
        </w:rPr>
        <w:t>11.5</w:t>
      </w:r>
      <w:r>
        <w:rPr>
          <w:spacing w:val="-7"/>
          <w:w w:val="95"/>
        </w:rPr>
        <w:t xml:space="preserve"> 生殖细胞突变性：无资料</w:t>
      </w:r>
    </w:p>
    <w:p>
      <w:pPr>
        <w:pStyle w:val="3"/>
        <w:spacing w:before="40"/>
        <w:jc w:val="both"/>
      </w:pPr>
      <w:r>
        <w:rPr>
          <w:w w:val="98"/>
        </w:rPr>
        <w:t xml:space="preserve"> </w:t>
      </w:r>
      <w:r>
        <w:t>11.6 致癌性：此产品中没有大于或等于0.1%含量的组分被IARC鉴别为可能的或肯定的人类致癌物。</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8"/>
        </w:rPr>
        <w:t xml:space="preserve"> </w:t>
      </w:r>
      <w:r>
        <w:t>吸入：吸入可能有害。可能引起呼吸道刺激。</w:t>
      </w:r>
    </w:p>
    <w:p>
      <w:pPr>
        <w:pStyle w:val="3"/>
        <w:jc w:val="both"/>
      </w:pPr>
      <w:r>
        <w:rPr>
          <w:w w:val="97"/>
        </w:rPr>
        <w:t xml:space="preserve"> </w:t>
      </w:r>
      <w:r>
        <w:t>摄入：吞咽可能有害。</w:t>
      </w:r>
    </w:p>
    <w:p>
      <w:pPr>
        <w:pStyle w:val="3"/>
        <w:spacing w:before="40"/>
        <w:jc w:val="both"/>
      </w:pPr>
      <w:r>
        <w:rPr>
          <w:w w:val="98"/>
        </w:rPr>
        <w:t xml:space="preserve"> </w:t>
      </w:r>
      <w:r>
        <w:t>皮肤：如果通过皮肤吸收可能是有害的。造成皮肤刺激。</w:t>
      </w:r>
    </w:p>
    <w:p>
      <w:pPr>
        <w:pStyle w:val="3"/>
        <w:spacing w:line="220" w:lineRule="exact"/>
        <w:jc w:val="both"/>
      </w:pPr>
      <w:r>
        <w:rPr>
          <w:w w:val="97"/>
        </w:rPr>
        <w:t xml:space="preserve"> </w:t>
      </w:r>
      <w:r>
        <w:t>眼睛：引起眼睛灼伤。</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spacing w:before="40"/>
        <w:jc w:val="both"/>
      </w:pPr>
      <w:r>
        <w:rPr>
          <w:w w:val="94"/>
        </w:rPr>
        <w:t xml:space="preserve"> </w:t>
      </w:r>
      <w:r>
        <w:t>12.1 生态毒性：对水蚤和其他水生无脊椎动物的毒性:半致死有效浓度(EC50)-红虫-0.004mg/l-48h</w:t>
      </w:r>
    </w:p>
    <w:p>
      <w:pPr>
        <w:pStyle w:val="3"/>
        <w:jc w:val="both"/>
      </w:pPr>
      <w:r>
        <w:rPr>
          <w:w w:val="93"/>
        </w:rPr>
        <w:t xml:space="preserve"> </w:t>
      </w:r>
      <w:r>
        <w:t>12.2 持久性和降解性：无资料</w:t>
      </w:r>
    </w:p>
    <w:p>
      <w:pPr>
        <w:pStyle w:val="3"/>
        <w:jc w:val="both"/>
      </w:pPr>
      <w:r>
        <w:rPr>
          <w:w w:val="93"/>
        </w:rPr>
        <w:t xml:space="preserve"> </w:t>
      </w:r>
      <w:r>
        <w:t>12.3 潜在的生物累积性：无资料</w:t>
      </w:r>
    </w:p>
    <w:p>
      <w:pPr>
        <w:pStyle w:val="3"/>
        <w:spacing w:before="40"/>
        <w:jc w:val="both"/>
      </w:pPr>
      <w:r>
        <w:rPr>
          <w:w w:val="93"/>
        </w:rPr>
        <w:t xml:space="preserve"> </w:t>
      </w:r>
      <w:r>
        <w:t>12.4 土壤中的迁移性：无资料</w:t>
      </w:r>
    </w:p>
    <w:p>
      <w:pPr>
        <w:pStyle w:val="3"/>
        <w:spacing w:line="220" w:lineRule="exact"/>
        <w:jc w:val="both"/>
      </w:pPr>
      <w:r>
        <w:rPr>
          <w:w w:val="95"/>
        </w:rPr>
        <w:t xml:space="preserve"> </w:t>
      </w:r>
      <w:r>
        <w:t>12.5 其它不良影响：对水生生物毒性极大。</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7"/>
        </w:rPr>
        <w:t xml:space="preserve"> </w:t>
      </w:r>
      <w:r>
        <w:t>13.1 残余废弃物处置方法：与易燃溶剂相溶或者相混合，在备有燃烧后处理和洗刷作用的化学焚化炉中燃烧</w:t>
      </w:r>
    </w:p>
    <w:p>
      <w:pPr>
        <w:pStyle w:val="3"/>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spacing w:before="40"/>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99"/>
        </w:rPr>
        <w:t xml:space="preserve">  </w:t>
      </w:r>
      <w:r>
        <w:t>联合国运输名称：ENVIRONMENTALLY HAZARDOUS SUBSTANCE, SOLID, N.O.S. (Disilver(1+) sulphate)</w:t>
      </w:r>
    </w:p>
    <w:p>
      <w:pPr>
        <w:pStyle w:val="3"/>
        <w:jc w:val="both"/>
      </w:pPr>
      <w:r>
        <w:rPr>
          <w:w w:val="98"/>
        </w:rPr>
        <w:t xml:space="preserve">  </w:t>
      </w:r>
      <w:r>
        <w:t>联合国危险性分类：NA</w:t>
      </w:r>
    </w:p>
    <w:p>
      <w:pPr>
        <w:pStyle w:val="3"/>
        <w:jc w:val="both"/>
      </w:pPr>
      <w:r>
        <w:rPr>
          <w:w w:val="90"/>
        </w:rPr>
        <w:t xml:space="preserve">  </w:t>
      </w:r>
      <w:r>
        <w:t>包装组：Ⅲ</w:t>
      </w:r>
    </w:p>
    <w:p>
      <w:pPr>
        <w:pStyle w:val="3"/>
        <w:spacing w:before="40"/>
        <w:jc w:val="both"/>
      </w:pPr>
      <w:r>
        <w:rPr>
          <w:w w:val="93"/>
        </w:rPr>
        <w:t xml:space="preserve">  </w:t>
      </w:r>
      <w:r>
        <w:t>包装方法：无资料</w:t>
      </w:r>
    </w:p>
    <w:p>
      <w:pPr>
        <w:pStyle w:val="3"/>
        <w:jc w:val="both"/>
      </w:pPr>
      <w:r>
        <w:rPr>
          <w:w w:val="93"/>
        </w:rPr>
        <w:t xml:space="preserve">  </w:t>
      </w:r>
      <w:r>
        <w:t>海洋污染物（是/否）：是</w:t>
      </w:r>
    </w:p>
    <w:p>
      <w:pPr>
        <w:pStyle w:val="3"/>
        <w:spacing w:before="0" w:line="270" w:lineRule="atLeast"/>
        <w:ind w:right="136"/>
      </w:pPr>
      <w:r>
        <w:rPr>
          <w:w w:val="98"/>
        </w:rPr>
        <w:t xml:space="preserve">  </w:t>
      </w:r>
      <w:r>
        <w:rPr>
          <w:w w:val="95"/>
        </w:rPr>
        <w:t>运输注意事项：危险品独立包装,液体5升以上或固体5公斤以上,每个独立包装外和独立内包装合并后的外包装上都必须有EHS</w:t>
      </w:r>
      <w:r>
        <w:rPr>
          <w:spacing w:val="-5"/>
          <w:w w:val="95"/>
        </w:rPr>
        <w:t xml:space="preserve">标识(根   </w:t>
      </w:r>
      <w:r>
        <w:t>据欧洲ADR法规2.2.9.1.10,IMDG法规2.10.3)</w:t>
      </w:r>
    </w:p>
    <w:p>
      <w:pPr>
        <w:spacing w:before="0" w:line="56"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1C2609B7"/>
    <w:rsid w:val="16047413"/>
    <w:rsid w:val="1C26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2023-11-02T09:04:00Z</dcterms:created>
  <dc:creator>刘文丹。</dc:creator>
  <cp:lastModifiedBy>刘文丹。</cp:lastModifiedBy>
  <dcterms:modified xsi:type="dcterms:W3CDTF">2023-11-02T09:05:16Z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F7BE910D10174D1A85FCB7744B69C8FC_11</vt:lpwstr>
  </property>
</Properties>
</file>