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孔雀石绿</w:t>
      </w:r>
      <w:r>
        <w:rPr>
          <w:rFonts w:hint="eastAsia"/>
          <w:lang w:eastAsia="zh-CN"/>
        </w:rPr>
        <w:t>说明书</w:t>
      </w:r>
      <w:bookmarkEnd w:id="0"/>
    </w:p>
    <w:p>
      <w:pPr>
        <w:pStyle w:val="3"/>
        <w:spacing w:before="0" w:line="280" w:lineRule="auto"/>
        <w:ind w:right="9013"/>
      </w:pPr>
      <w:r>
        <w:rPr>
          <w:w w:val="95"/>
        </w:rPr>
        <w:t>1.化学品及企业标识</w:t>
      </w:r>
      <w:r>
        <w:t>中文名：孔雀石绿</w:t>
      </w:r>
    </w:p>
    <w:p>
      <w:pPr>
        <w:pStyle w:val="3"/>
        <w:spacing w:before="0"/>
      </w:pPr>
      <w:r>
        <w:t>英文名：Malachite green</w:t>
      </w:r>
    </w:p>
    <w:p>
      <w:pPr>
        <w:pStyle w:val="3"/>
        <w:spacing w:before="40"/>
      </w:pPr>
      <w:r>
        <w:rPr>
          <w:w w:val="95"/>
        </w:rPr>
        <w:t>中文别名：孔雀石绿；碱性绿4；中国绿；苯胺绿；碱性孔雀石绿；品绿；盐基块绿；维多利亚绿B；[4-[α-[4-(二甲氨基)苯基]苄基</w:t>
      </w:r>
    </w:p>
    <w:p>
      <w:pPr>
        <w:pStyle w:val="3"/>
      </w:pPr>
      <w:r>
        <w:t>]环六-2,5-二烯-1-亚基]二甲基氯化铵</w:t>
      </w:r>
    </w:p>
    <w:p>
      <w:pPr>
        <w:pStyle w:val="3"/>
        <w:spacing w:before="40" w:line="280" w:lineRule="auto"/>
        <w:ind w:right="467"/>
      </w:pPr>
      <w:r>
        <w:rPr>
          <w:w w:val="85"/>
        </w:rPr>
        <w:t>英文别名：Malachite</w:t>
      </w:r>
      <w:r>
        <w:rPr>
          <w:spacing w:val="65"/>
          <w:w w:val="85"/>
        </w:rPr>
        <w:t xml:space="preserve"> </w:t>
      </w:r>
      <w:r>
        <w:rPr>
          <w:w w:val="85"/>
        </w:rPr>
        <w:t>green;[4-[α-[4-(Dimethylamino)phenyl]benzylidene]cyclohexa-2,5-dien-1-ylidene]dimethylammonium</w:t>
      </w:r>
      <w:r>
        <w:rPr>
          <w:spacing w:val="66"/>
          <w:w w:val="85"/>
        </w:rPr>
        <w:t xml:space="preserve"> </w:t>
      </w:r>
      <w:r>
        <w:rPr>
          <w:w w:val="85"/>
        </w:rPr>
        <w:t>chloride;Basic Green</w:t>
      </w:r>
      <w:r>
        <w:rPr>
          <w:spacing w:val="-39"/>
          <w:w w:val="85"/>
        </w:rPr>
        <w:t xml:space="preserve"> </w:t>
      </w:r>
      <w:r>
        <w:rPr>
          <w:w w:val="85"/>
        </w:rPr>
        <w:t>4;N,N,N',N'-Tetramethyl-4,4'-diaminotriphenylcarbenium</w:t>
      </w:r>
      <w:r>
        <w:rPr>
          <w:spacing w:val="-39"/>
          <w:w w:val="85"/>
        </w:rPr>
        <w:t xml:space="preserve"> </w:t>
      </w:r>
      <w:r>
        <w:rPr>
          <w:w w:val="85"/>
        </w:rPr>
        <w:t>chloride;Aniline</w:t>
      </w:r>
      <w:r>
        <w:rPr>
          <w:spacing w:val="-39"/>
          <w:w w:val="85"/>
        </w:rPr>
        <w:t xml:space="preserve"> </w:t>
      </w:r>
      <w:r>
        <w:rPr>
          <w:w w:val="85"/>
        </w:rPr>
        <w:t>green;China</w:t>
      </w:r>
      <w:r>
        <w:rPr>
          <w:spacing w:val="-39"/>
          <w:w w:val="85"/>
        </w:rPr>
        <w:t xml:space="preserve"> </w:t>
      </w:r>
      <w:r>
        <w:rPr>
          <w:w w:val="85"/>
        </w:rPr>
        <w:t>green;Light</w:t>
      </w:r>
      <w:r>
        <w:rPr>
          <w:spacing w:val="-39"/>
          <w:w w:val="85"/>
        </w:rPr>
        <w:t xml:space="preserve"> </w:t>
      </w:r>
      <w:r>
        <w:rPr>
          <w:w w:val="85"/>
        </w:rPr>
        <w:t>green</w:t>
      </w:r>
      <w:r>
        <w:rPr>
          <w:spacing w:val="-39"/>
          <w:w w:val="85"/>
        </w:rPr>
        <w:t xml:space="preserve"> </w:t>
      </w:r>
      <w:r>
        <w:rPr>
          <w:w w:val="85"/>
        </w:rPr>
        <w:t>N;Victoria</w:t>
      </w:r>
      <w:r>
        <w:rPr>
          <w:spacing w:val="-38"/>
          <w:w w:val="85"/>
        </w:rPr>
        <w:t xml:space="preserve"> </w:t>
      </w:r>
      <w:r>
        <w:rPr>
          <w:w w:val="85"/>
        </w:rPr>
        <w:t>green</w:t>
      </w:r>
      <w:r>
        <w:rPr>
          <w:spacing w:val="-39"/>
          <w:w w:val="85"/>
        </w:rPr>
        <w:t xml:space="preserve"> </w:t>
      </w:r>
      <w:r>
        <w:rPr>
          <w:w w:val="85"/>
        </w:rPr>
        <w:t xml:space="preserve">B;Victoria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CSDS569-64-2 孔雀石绿</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w:t>
      </w:r>
      <w:r>
        <w:rPr>
          <w:spacing w:val="-1"/>
          <w:w w:val="95"/>
        </w:rPr>
        <w:t xml:space="preserve">   紧急情况概述：绿色结晶吞咽有害。造成严重眼损伤。怀疑对生育能力或胎儿造成伤害。对水生生物毒性极大。过量接触需采取</w:t>
      </w:r>
      <w:r>
        <w:t>特殊急救措施和进行医疗随访。用水雾、耐醇泡沫、干粉或二氧化碳灭火。如必要的话,戴自给式呼吸器去救火。</w:t>
      </w:r>
    </w:p>
    <w:p>
      <w:pPr>
        <w:pStyle w:val="3"/>
        <w:spacing w:before="0"/>
      </w:pPr>
      <w:r>
        <w:rPr>
          <w:w w:val="98"/>
        </w:rPr>
        <w:t xml:space="preserve"> </w:t>
      </w:r>
      <w:r>
        <w:rPr>
          <w:w w:val="95"/>
        </w:rPr>
        <w:t>2.2</w:t>
      </w:r>
      <w:r>
        <w:rPr>
          <w:spacing w:val="10"/>
          <w:w w:val="95"/>
        </w:rPr>
        <w:t xml:space="preserve">    </w:t>
      </w:r>
      <w:r>
        <w:rPr>
          <w:w w:val="95"/>
        </w:rPr>
        <w:t>GHS危险性分类：急性毒性,经口（类别4）严重眼睛损伤（类别1）生殖毒性（类别2）急性水生毒性（类别1）</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190500</wp:posOffset>
            </wp:positionV>
            <wp:extent cx="754380" cy="762000"/>
            <wp:effectExtent l="0" t="0" r="7620" b="0"/>
            <wp:wrapTopAndBottom/>
            <wp:docPr id="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jpeg"/>
                    <pic:cNvPicPr>
                      <a:picLocks noChangeAspect="1"/>
                    </pic:cNvPicPr>
                  </pic:nvPicPr>
                  <pic:blipFill>
                    <a:blip r:embed="rId7"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190500</wp:posOffset>
            </wp:positionV>
            <wp:extent cx="762000" cy="762000"/>
            <wp:effectExtent l="0" t="0" r="0" b="0"/>
            <wp:wrapTopAndBottom/>
            <wp:docPr id="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190500</wp:posOffset>
            </wp:positionV>
            <wp:extent cx="762000" cy="762000"/>
            <wp:effectExtent l="0" t="0" r="0" b="0"/>
            <wp:wrapTopAndBottom/>
            <wp:docPr id="8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危险信息：吞咽有害。造成严重眼损伤。怀疑对生育能力或胎儿造成伤害。对水生生物毒性极大。严禁用于食品和饲料加工。</w:t>
      </w:r>
    </w:p>
    <w:p>
      <w:pPr>
        <w:pStyle w:val="3"/>
        <w:spacing w:line="280" w:lineRule="auto"/>
        <w:ind w:right="280"/>
      </w:pPr>
      <w:r>
        <w:rPr>
          <w:w w:val="99"/>
        </w:rPr>
        <w:t xml:space="preserve"> </w:t>
      </w:r>
      <w:r>
        <w:rPr>
          <w:spacing w:val="-1"/>
          <w:w w:val="95"/>
        </w:rPr>
        <w:t xml:space="preserve">预防措施：在使用前获取特别指示。在读懂所有安全防范措施之前切勿操作。操作后彻底清洁皮肤。使用本产品时不要进食、饮水     </w:t>
      </w:r>
      <w:r>
        <w:t>或吸烟。避免释放到环境中。穿戴防护手套/眼保护罩/面部保护罩。</w:t>
      </w:r>
    </w:p>
    <w:p>
      <w:pPr>
        <w:pStyle w:val="3"/>
        <w:spacing w:before="1" w:line="280" w:lineRule="auto"/>
        <w:ind w:right="237"/>
      </w:pPr>
      <w:r>
        <w:rPr>
          <w:w w:val="99"/>
        </w:rPr>
        <w:t xml:space="preserve"> </w:t>
      </w:r>
      <w:r>
        <w:rPr>
          <w:spacing w:val="-1"/>
          <w:w w:val="95"/>
        </w:rPr>
        <w:t xml:space="preserve">事故响应：如果吞咽并觉不适:立即呼叫解毒中心或就医。如与眼睛接触。用水缓慢温和地冲洗几分钟。如戴隐形眼镜并可方便地取    </w:t>
      </w:r>
      <w:r>
        <w:t>出。取出隐形眼镜。然后继续冲洗。立即呼叫中毒控制中心或医生。漱口。收集溢出物。</w:t>
      </w:r>
    </w:p>
    <w:p>
      <w:pPr>
        <w:pStyle w:val="3"/>
        <w:spacing w:before="0"/>
      </w:pPr>
      <w:r>
        <w:rPr>
          <w:w w:val="97"/>
        </w:rPr>
        <w:t xml:space="preserve"> </w:t>
      </w:r>
      <w:r>
        <w:t>安全存储：存放处须加锁</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物理化学危险性信息：不适用</w:t>
      </w:r>
    </w:p>
    <w:p>
      <w:pPr>
        <w:pStyle w:val="3"/>
      </w:pPr>
      <w:r>
        <w:rPr>
          <w:w w:val="97"/>
        </w:rPr>
        <w:t xml:space="preserve"> </w:t>
      </w:r>
      <w:r>
        <w:t>2.5 健康危害：吞咽有害。造成严重眼损伤。怀疑对生育能力或胎儿造成伤害。</w:t>
      </w:r>
    </w:p>
    <w:p>
      <w:pPr>
        <w:pStyle w:val="3"/>
        <w:spacing w:before="40"/>
      </w:pPr>
      <w:r>
        <w:rPr>
          <w:w w:val="94"/>
        </w:rPr>
        <w:t xml:space="preserve"> </w:t>
      </w:r>
      <w:r>
        <w:t>2.6 环境危害：对水生生物毒性极大。</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主要成分：孔雀石绿</w:t>
      </w:r>
      <w:r>
        <w:tab/>
      </w:r>
      <w:r>
        <w:rPr>
          <w:w w:val="95"/>
        </w:rPr>
        <w:t>569-64-2</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spacing w:after="0"/>
        <w:sectPr>
          <w:pgSz w:w="11900" w:h="16840"/>
          <w:pgMar w:top="760" w:right="600" w:bottom="700" w:left="620" w:header="0" w:footer="509" w:gutter="0"/>
          <w:cols w:space="720" w:num="1"/>
        </w:sectPr>
      </w:pPr>
    </w:p>
    <w:p>
      <w:pPr>
        <w:pStyle w:val="3"/>
        <w:spacing w:before="50"/>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pStyle w:val="3"/>
      </w:pPr>
      <w:r>
        <w:rPr>
          <w:w w:val="97"/>
        </w:rPr>
        <w:t xml:space="preserve"> </w:t>
      </w:r>
      <w:r>
        <w:t>4.2 主要症状和影响，急性和迟发效应：据我们所知，此化学，物理和毒性性质尚未经完整的研究。</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1"/>
      </w:pPr>
      <w:r>
        <w:rPr>
          <w:w w:val="98"/>
        </w:rPr>
        <w:t xml:space="preserve"> </w:t>
      </w:r>
      <w:r>
        <w:rPr>
          <w:w w:val="95"/>
        </w:rPr>
        <w:t>6.2     环境保护措施：如能确保安全，可采取措施防止进一步的泄漏或溢出。不要让产品进入下水道。一定要避免排放到周围环境中。</w:t>
      </w:r>
    </w:p>
    <w:p>
      <w:pPr>
        <w:pStyle w:val="3"/>
      </w:pPr>
      <w:r>
        <w:rPr>
          <w:w w:val="98"/>
        </w:rPr>
        <w:t xml:space="preserve"> </w:t>
      </w:r>
      <w:r>
        <w:rPr>
          <w:w w:val="95"/>
        </w:rPr>
        <w:t>6.3     泄露化学品的收容、清除方法及所使用的处置材料：收集和处置时不要产生粉尘。扫掉和铲掉。放入合适的封闭的容器中待处理</w:t>
      </w:r>
    </w:p>
    <w:p>
      <w:pPr>
        <w:pStyle w:val="3"/>
        <w:spacing w:before="40" w:line="220" w:lineRule="exact"/>
      </w:pPr>
      <w:r>
        <w:t>。</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7.操作处置与储存</w:t>
      </w:r>
    </w:p>
    <w:p>
      <w:pPr>
        <w:pStyle w:val="3"/>
      </w:pPr>
      <w:r>
        <w:rPr>
          <w:w w:val="97"/>
        </w:rPr>
        <w:t xml:space="preserve"> </w:t>
      </w:r>
      <w:r>
        <w:t>7.1 安全处置注意事项：避免接触皮肤和眼睛。避免形成粉尘和气溶胶。在有粉尘生成的地方,提供合适的排风设备。</w:t>
      </w:r>
    </w:p>
    <w:p>
      <w:pPr>
        <w:pStyle w:val="3"/>
      </w:pPr>
      <w:r>
        <w:rPr>
          <w:w w:val="97"/>
        </w:rPr>
        <w:t xml:space="preserve"> </w:t>
      </w:r>
      <w:r>
        <w:t>7.2 安全储存注意事项：贮存在阴凉处。容器保持紧闭，储存在干燥通风处。</w:t>
      </w:r>
    </w:p>
    <w:p>
      <w:pPr>
        <w:pStyle w:val="3"/>
        <w:spacing w:before="4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外观与性状：绿色有金属光泽的结晶。</w:t>
      </w:r>
      <w:r>
        <w:tab/>
      </w:r>
      <w:r>
        <w:t>气味：无资料</w:t>
      </w: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熔点/凝固点(℃)：158-160℃</w:t>
      </w:r>
      <w:r>
        <w:rPr>
          <w:w w:val="95"/>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7"/>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rPr>
          <w:w w:val="95"/>
        </w:rPr>
        <w:t>辛醇/水分配系数的对数值：0.062</w:t>
      </w:r>
      <w:r>
        <w:rPr>
          <w:w w:val="95"/>
        </w:rPr>
        <w:tab/>
      </w:r>
      <w:r>
        <w:rPr>
          <w:w w:val="95"/>
        </w:rPr>
        <w:t>闪点(℃)：无资料</w:t>
      </w:r>
    </w:p>
    <w:p>
      <w:pPr>
        <w:pStyle w:val="3"/>
        <w:tabs>
          <w:tab w:val="left" w:pos="6415"/>
        </w:tabs>
        <w:spacing w:before="8"/>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7" w:line="187" w:lineRule="auto"/>
        <w:ind w:left="140"/>
      </w:pPr>
      <w:r>
        <w:t>溶解性：易溶于水，溶于乙醇、甲醇和戊醇；水溶液呈蓝绿色，pH2以下呈黄色。</w:t>
      </w:r>
    </w:p>
    <w:p>
      <w:pPr>
        <w:pStyle w:val="3"/>
        <w:spacing w:before="7"/>
        <w:ind w:left="140"/>
      </w:pPr>
      <w:r>
        <w:br w:type="column"/>
      </w:r>
      <w:r>
        <w:rPr>
          <w:w w:val="105"/>
        </w:rPr>
        <w:t>爆炸下限%（V/V）：无资料</w:t>
      </w:r>
    </w:p>
    <w:p>
      <w:pPr>
        <w:spacing w:after="0"/>
        <w:sectPr>
          <w:type w:val="continuous"/>
          <w:pgSz w:w="11900" w:h="16840"/>
          <w:pgMar w:top="1580" w:right="600" w:bottom="1180" w:left="620" w:header="720" w:footer="720" w:gutter="0"/>
          <w:cols w:equalWidth="0" w:num="2">
            <w:col w:w="6221" w:space="55"/>
            <w:col w:w="4404"/>
          </w:cols>
        </w:sectPr>
      </w:pPr>
    </w:p>
    <w:p>
      <w:pPr>
        <w:pStyle w:val="3"/>
        <w:tabs>
          <w:tab w:val="left" w:pos="6415"/>
        </w:tabs>
        <w:spacing w:before="19"/>
        <w:ind w:left="140"/>
      </w:pPr>
      <w:r>
        <w:t>易燃性（固体、气体）：无资料</w:t>
      </w:r>
      <w:r>
        <w:tab/>
      </w:r>
      <w:r>
        <w:t>蒸发速率：无资料</w:t>
      </w:r>
    </w:p>
    <w:p>
      <w:pPr>
        <w:pStyle w:val="3"/>
        <w:spacing w:before="169"/>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rPr>
          <w:w w:val="95"/>
        </w:rPr>
        <w:t>10.3</w:t>
      </w:r>
      <w:r>
        <w:rPr>
          <w:spacing w:val="-8"/>
          <w:w w:val="95"/>
        </w:rPr>
        <w:t xml:space="preserve"> 应避免的条件：无资料</w:t>
      </w:r>
    </w:p>
    <w:p>
      <w:pPr>
        <w:pStyle w:val="3"/>
      </w:pPr>
      <w:r>
        <w:rPr>
          <w:w w:val="92"/>
        </w:rPr>
        <w:t xml:space="preserve"> </w:t>
      </w:r>
      <w:r>
        <w:rPr>
          <w:w w:val="95"/>
        </w:rPr>
        <w:t>10.4</w:t>
      </w:r>
      <w:r>
        <w:rPr>
          <w:spacing w:val="-8"/>
          <w:w w:val="95"/>
        </w:rPr>
        <w:t xml:space="preserve"> 不相容物质：强氧化剂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spacing w:after="0"/>
        <w:sectPr>
          <w:type w:val="continuous"/>
          <w:pgSz w:w="11900" w:h="16840"/>
          <w:pgMar w:top="1580" w:right="600" w:bottom="1180" w:left="620" w:header="720" w:footer="720" w:gutter="0"/>
          <w:cols w:space="720" w:num="1"/>
        </w:sectPr>
      </w:pPr>
    </w:p>
    <w:p>
      <w:pPr>
        <w:pStyle w:val="3"/>
        <w:spacing w:before="50"/>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spacing w:before="40"/>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spacing w:before="40"/>
        <w:jc w:val="both"/>
      </w:pPr>
      <w:r>
        <w:rPr>
          <w:w w:val="99"/>
        </w:rPr>
        <w:t xml:space="preserve"> </w:t>
      </w:r>
      <w:r>
        <w:t>11.6 致癌性：IARC:此产品中没有大于或等于0。1%含量的组分被IARC鉴别为可能的或肯定的人类致癌物。</w:t>
      </w:r>
    </w:p>
    <w:p>
      <w:pPr>
        <w:pStyle w:val="3"/>
        <w:jc w:val="both"/>
      </w:pPr>
      <w:r>
        <w:rPr>
          <w:w w:val="94"/>
        </w:rPr>
        <w:t xml:space="preserve"> </w:t>
      </w:r>
      <w:r>
        <w:t>11.7 生殖毒性：疑似人类生殖毒性。</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8"/>
        </w:rPr>
        <w:t xml:space="preserve"> </w:t>
      </w:r>
      <w:r>
        <w:t>吸入：吸入可能有害。可能引起呼吸道刺激。</w:t>
      </w:r>
    </w:p>
    <w:p>
      <w:pPr>
        <w:pStyle w:val="3"/>
        <w:jc w:val="both"/>
      </w:pPr>
      <w:r>
        <w:rPr>
          <w:w w:val="97"/>
        </w:rPr>
        <w:t xml:space="preserve"> </w:t>
      </w:r>
      <w:r>
        <w:t>摄入：如服入是有害的。</w:t>
      </w:r>
    </w:p>
    <w:p>
      <w:pPr>
        <w:pStyle w:val="3"/>
        <w:spacing w:before="40"/>
        <w:jc w:val="both"/>
      </w:pPr>
      <w:r>
        <w:rPr>
          <w:w w:val="98"/>
        </w:rPr>
        <w:t xml:space="preserve"> </w:t>
      </w:r>
      <w:r>
        <w:t>皮肤：通过皮肤吸收可能有害。可能引起皮肤刺激。</w:t>
      </w:r>
    </w:p>
    <w:p>
      <w:pPr>
        <w:pStyle w:val="3"/>
        <w:spacing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生态毒性：对鱼类的毒性半致死浓度(LC50)-Lepomismacrochirus-0.0218mg/l-96.0h</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spacing w:before="40"/>
        <w:jc w:val="both"/>
      </w:pPr>
      <w:r>
        <w:rPr>
          <w:w w:val="93"/>
        </w:rPr>
        <w:t xml:space="preserve"> </w:t>
      </w:r>
      <w:r>
        <w:t>12.4 土壤中的迁移性：无资料</w:t>
      </w:r>
    </w:p>
    <w:p>
      <w:pPr>
        <w:pStyle w:val="3"/>
        <w:spacing w:line="220" w:lineRule="exact"/>
        <w:jc w:val="both"/>
      </w:pPr>
      <w:r>
        <w:rPr>
          <w:w w:val="95"/>
        </w:rPr>
        <w:t xml:space="preserve"> </w:t>
      </w:r>
      <w:r>
        <w:t>12.5 其它不良影响：对水生生物毒性极大。</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7"/>
        </w:rPr>
        <w:t xml:space="preserve"> </w:t>
      </w:r>
      <w:r>
        <w:t>13.1 残余废弃物处置方法：与易燃溶剂相溶或者相混合，在备有燃烧后处理和洗刷作用的化学焚化炉中燃烧</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jc w:val="both"/>
      </w:pPr>
      <w:r>
        <w:rPr>
          <w:w w:val="81"/>
        </w:rPr>
        <w:t xml:space="preserve">  </w:t>
      </w:r>
      <w:r>
        <w:rPr>
          <w:w w:val="90"/>
        </w:rPr>
        <w:t>联合国运输名称：Toxic solid, organic, n.o.s.</w:t>
      </w:r>
    </w:p>
    <w:p>
      <w:pPr>
        <w:pStyle w:val="3"/>
        <w:spacing w:before="40"/>
        <w:jc w:val="both"/>
      </w:pPr>
      <w:r>
        <w:rPr>
          <w:w w:val="98"/>
        </w:rPr>
        <w:t xml:space="preserve">  </w:t>
      </w:r>
      <w:r>
        <w:t>联合国危险性分类：NA</w:t>
      </w:r>
    </w:p>
    <w:p>
      <w:pPr>
        <w:pStyle w:val="3"/>
        <w:jc w:val="both"/>
      </w:pPr>
      <w:r>
        <w:rPr>
          <w:w w:val="90"/>
        </w:rPr>
        <w:t xml:space="preserve">  </w:t>
      </w:r>
      <w:r>
        <w:t>包装组：Ⅲ</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spacing w:before="40"/>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5F8F24D1"/>
    <w:rsid w:val="16047413"/>
    <w:rsid w:val="5F8F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2023-11-02T09:09:00Z</dcterms:created>
  <dc:creator>刘文丹。</dc:creator>
  <cp:lastModifiedBy>刘文丹。</cp:lastModifiedBy>
  <dcterms:modified xsi:type="dcterms:W3CDTF">2023-11-02T09:09:56Z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CE856A9D3A95455CA6CC7D4A63C0FB1A_11</vt:lpwstr>
  </property>
</Properties>
</file>