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lang w:eastAsia="zh-CN"/>
        </w:rPr>
      </w:pPr>
      <w:bookmarkStart w:id="0" w:name="_GoBack"/>
      <w:r>
        <w:t>甲醇</w:t>
      </w:r>
      <w:r>
        <w:rPr>
          <w:rFonts w:hint="eastAsia"/>
          <w:lang w:eastAsia="zh-CN"/>
        </w:rPr>
        <w:t>说明书</w:t>
      </w:r>
      <w:bookmarkEnd w:id="0"/>
    </w:p>
    <w:p>
      <w:pPr>
        <w:pStyle w:val="3"/>
        <w:spacing w:before="0" w:line="280" w:lineRule="auto"/>
        <w:ind w:right="9013"/>
      </w:pPr>
      <w:r>
        <w:rPr>
          <w:w w:val="95"/>
        </w:rPr>
        <w:t>1.化学品及企业标识</w:t>
      </w:r>
      <w:r>
        <w:t>中文名：甲醇</w:t>
      </w:r>
    </w:p>
    <w:p>
      <w:pPr>
        <w:pStyle w:val="3"/>
        <w:spacing w:before="0" w:line="280" w:lineRule="auto"/>
        <w:ind w:right="9173"/>
      </w:pPr>
      <w:r>
        <w:rPr>
          <w:w w:val="95"/>
        </w:rPr>
        <w:t xml:space="preserve">英文名：Methanol </w:t>
      </w:r>
      <w:r>
        <w:t>中文别名：甲醇</w:t>
      </w:r>
    </w:p>
    <w:p>
      <w:pPr>
        <w:pStyle w:val="3"/>
        <w:spacing w:before="1" w:line="280" w:lineRule="auto"/>
        <w:ind w:right="6684"/>
      </w:pPr>
      <w:r>
        <w:rPr>
          <w:w w:val="90"/>
        </w:rPr>
        <w:t xml:space="preserve">英文别名：Methanol;Methyl alcohol-14C;Alcohol C1 </w:t>
      </w:r>
      <w:r>
        <w:t>推荐用途：实验室用化验、试验及科学实验。</w:t>
      </w:r>
    </w:p>
    <w:p>
      <w:pPr>
        <w:pStyle w:val="3"/>
        <w:spacing w:before="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1"/>
      </w:pPr>
      <w:r>
        <w:t>邮编：200002</w:t>
      </w:r>
    </w:p>
    <w:p>
      <w:pPr>
        <w:pStyle w:val="3"/>
      </w:pPr>
      <w:r>
        <w:t>传真：86-021-63214037</w:t>
      </w:r>
    </w:p>
    <w:p>
      <w:pPr>
        <w:pStyle w:val="3"/>
        <w:spacing w:before="40"/>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CSDS67-56-1 甲醇</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before="40" w:line="280" w:lineRule="auto"/>
        <w:ind w:right="214"/>
      </w:pPr>
      <w:r>
        <w:rPr>
          <w:w w:val="98"/>
        </w:rPr>
        <w:t xml:space="preserve"> </w:t>
      </w:r>
      <w:r>
        <w:rPr>
          <w:w w:val="95"/>
        </w:rPr>
        <w:t>2.1   紧急情况概述：无色液体。高度易燃液体和蒸气。如果咽下。与皮肤接触或吸入是有毒的。对器官造成损害。过量接触需采取特</w:t>
      </w:r>
      <w:r>
        <w:t>殊急救措施和进行医疗随访。用水雾,抗乙醇泡沫,干粉或二氧化碳灭火。如必要的话,戴自给式呼吸器去救火。</w:t>
      </w:r>
    </w:p>
    <w:p>
      <w:pPr>
        <w:pStyle w:val="3"/>
        <w:spacing w:before="0" w:line="280" w:lineRule="auto"/>
        <w:ind w:right="244"/>
      </w:pPr>
      <w:r>
        <w:rPr>
          <w:w w:val="98"/>
        </w:rPr>
        <w:t xml:space="preserve"> </w:t>
      </w:r>
      <w:r>
        <w:rPr>
          <w:w w:val="95"/>
        </w:rPr>
        <w:t>2.2    GHS危险性分类：易燃液体（类别2）急性毒性（经口）（类别3）急性毒性（吸入）（类别3）急性毒性（经皮）（类别3）特异</w:t>
      </w:r>
      <w:r>
        <w:t>性靶器官系统毒性（一次接触）（类别1）</w:t>
      </w:r>
    </w:p>
    <w:p>
      <w:pPr>
        <w:pStyle w:val="3"/>
        <w:spacing w:before="0"/>
      </w:pPr>
      <w:r>
        <w:rPr>
          <w:w w:val="97"/>
        </w:rPr>
        <w:t xml:space="preserve"> </w:t>
      </w:r>
      <w:r>
        <w:t>2.3 GHS标记要素，包括预防性的陈述：</w:t>
      </w:r>
    </w:p>
    <w:p>
      <w:pPr>
        <w:pStyle w:val="3"/>
        <w:spacing w:before="40"/>
      </w:pPr>
      <w:r>
        <w:drawing>
          <wp:anchor distT="0" distB="0" distL="0" distR="0" simplePos="0" relativeHeight="251659264" behindDoc="0" locked="0" layoutInCell="1" allowOverlap="1">
            <wp:simplePos x="0" y="0"/>
            <wp:positionH relativeFrom="page">
              <wp:posOffset>457200</wp:posOffset>
            </wp:positionH>
            <wp:positionV relativeFrom="paragraph">
              <wp:posOffset>190500</wp:posOffset>
            </wp:positionV>
            <wp:extent cx="762000" cy="762000"/>
            <wp:effectExtent l="0" t="0" r="0" b="0"/>
            <wp:wrapTopAndBottom/>
            <wp:docPr id="7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6.jpeg"/>
                    <pic:cNvPicPr>
                      <a:picLocks noChangeAspect="1"/>
                    </pic:cNvPicPr>
                  </pic:nvPicPr>
                  <pic:blipFill>
                    <a:blip r:embed="rId7"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1785620</wp:posOffset>
            </wp:positionH>
            <wp:positionV relativeFrom="paragraph">
              <wp:posOffset>190500</wp:posOffset>
            </wp:positionV>
            <wp:extent cx="762000" cy="762000"/>
            <wp:effectExtent l="0" t="0" r="0" b="0"/>
            <wp:wrapTopAndBottom/>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jpeg"/>
                    <pic:cNvPicPr>
                      <a:picLocks noChangeAspect="1"/>
                    </pic:cNvPicPr>
                  </pic:nvPicPr>
                  <pic:blipFill>
                    <a:blip r:embed="rId8"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3113405</wp:posOffset>
            </wp:positionH>
            <wp:positionV relativeFrom="paragraph">
              <wp:posOffset>190500</wp:posOffset>
            </wp:positionV>
            <wp:extent cx="762000" cy="762000"/>
            <wp:effectExtent l="0" t="0" r="0" b="0"/>
            <wp:wrapTopAndBottom/>
            <wp:docPr id="7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4.jpeg"/>
                    <pic:cNvPicPr>
                      <a:picLocks noChangeAspect="1"/>
                    </pic:cNvPicPr>
                  </pic:nvPicPr>
                  <pic:blipFill>
                    <a:blip r:embed="rId9"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pPr>
      <w:r>
        <w:rPr>
          <w:w w:val="99"/>
        </w:rPr>
        <w:t xml:space="preserve"> </w:t>
      </w:r>
      <w:r>
        <w:t>危险信息：高度易燃液体和蒸气。如果咽下。与皮肤接触或吸入是有毒的。对器官造成损害。</w:t>
      </w:r>
    </w:p>
    <w:p>
      <w:pPr>
        <w:pStyle w:val="3"/>
        <w:spacing w:line="280" w:lineRule="auto"/>
        <w:ind w:right="160"/>
        <w:jc w:val="both"/>
      </w:pPr>
      <w:r>
        <w:rPr>
          <w:w w:val="98"/>
        </w:rPr>
        <w:t xml:space="preserve"> </w:t>
      </w:r>
      <w:r>
        <w:rPr>
          <w:w w:val="95"/>
        </w:rPr>
        <w:t>预防措施：远离热源、火花、明火和热表面。禁止吸烟。保持容器密闭。容器和接收设备接地。使用防爆的电气/通风/</w:t>
      </w:r>
      <w:r>
        <w:rPr>
          <w:spacing w:val="-4"/>
          <w:w w:val="95"/>
        </w:rPr>
        <w:t xml:space="preserve">照明设备。只    </w:t>
      </w:r>
      <w:r>
        <w:rPr>
          <w:w w:val="95"/>
        </w:rPr>
        <w:t xml:space="preserve">能使用不产生火花的工具。采取措施。防止静电放电。不要吸入粉尘/烟/气体/烟雾/蒸汽/喷雾。操作后彻底清洁皮肤。使用本产品时   </w:t>
      </w:r>
      <w:r>
        <w:t>不要进食、饮水或吸烟。只能在室外或通风良好之处使用。穿戴防护手套/眼保护罩/面部保护罩。</w:t>
      </w:r>
    </w:p>
    <w:p>
      <w:pPr>
        <w:pStyle w:val="3"/>
        <w:spacing w:before="1" w:line="280" w:lineRule="auto"/>
        <w:ind w:right="139"/>
      </w:pPr>
      <w:r>
        <w:rPr>
          <w:w w:val="98"/>
        </w:rPr>
        <w:t xml:space="preserve"> </w:t>
      </w:r>
      <w:r>
        <w:rPr>
          <w:w w:val="95"/>
        </w:rPr>
        <w:t xml:space="preserve">事故响应：如果吞下去了:立即呼救解毒中心或医生。如果皮肤(或头发)接触：立即除去∕脱掉所有沾污的衣物。用水清洗皮肤∕淋    </w:t>
      </w:r>
      <w:r>
        <w:rPr>
          <w:spacing w:val="-1"/>
        </w:rPr>
        <w:t>浴。如果吸入：将受害人移至空气新鲜处并保持呼吸舒适的姿势休息。如有接触或有疑虑。呼叫解毒中心或就医。如感觉不适。呼救中毒控制中心或医生。漱口。立即除去∕脱掉所有沾污的衣物。清洗后方可再用。在发生火灾时：用干砂。干粉或抗溶性泡沫扑灭。</w:t>
      </w:r>
    </w:p>
    <w:p>
      <w:pPr>
        <w:pStyle w:val="3"/>
        <w:spacing w:before="0" w:line="280" w:lineRule="auto"/>
        <w:ind w:right="294"/>
      </w:pPr>
      <w:r>
        <w:rPr>
          <w:w w:val="99"/>
        </w:rPr>
        <w:t xml:space="preserve"> </w:t>
      </w:r>
      <w:r>
        <w:rPr>
          <w:w w:val="95"/>
        </w:rPr>
        <w:t>安全存储：存放于通风良好的地方。保持容器密闭。保持低温。存放于通风良好处。存放处须加锁。储存温度不超过29℃</w:t>
      </w:r>
      <w:r>
        <w:rPr>
          <w:spacing w:val="-5"/>
          <w:w w:val="95"/>
        </w:rPr>
        <w:t xml:space="preserve">。相对湿     </w:t>
      </w:r>
      <w:r>
        <w:t>度不超过80%。</w:t>
      </w:r>
    </w:p>
    <w:p>
      <w:pPr>
        <w:pStyle w:val="3"/>
        <w:spacing w:before="1"/>
      </w:pPr>
      <w:r>
        <w:rPr>
          <w:w w:val="96"/>
        </w:rPr>
        <w:t xml:space="preserve"> </w:t>
      </w:r>
      <w:r>
        <w:t>废弃处置：按照地方/区域/国家/国际规章处置内装物/容器。</w:t>
      </w:r>
    </w:p>
    <w:p>
      <w:pPr>
        <w:pStyle w:val="3"/>
      </w:pPr>
      <w:r>
        <w:rPr>
          <w:w w:val="95"/>
        </w:rPr>
        <w:t xml:space="preserve"> </w:t>
      </w:r>
      <w:r>
        <w:t>2.4 物理化学危险性信息：高度易燃液体和蒸气。</w:t>
      </w:r>
    </w:p>
    <w:p>
      <w:pPr>
        <w:pStyle w:val="3"/>
        <w:spacing w:before="40"/>
      </w:pPr>
      <w:r>
        <w:rPr>
          <w:w w:val="97"/>
        </w:rPr>
        <w:t xml:space="preserve"> </w:t>
      </w:r>
      <w:r>
        <w:t>2.5 健康危害：如果咽下。与皮肤接触或吸入是有毒的。对器官造成损害。</w:t>
      </w:r>
    </w:p>
    <w:p>
      <w:pPr>
        <w:pStyle w:val="3"/>
      </w:pPr>
      <w:r>
        <w:rPr>
          <w:w w:val="91"/>
        </w:rPr>
        <w:t xml:space="preserve"> </w:t>
      </w:r>
      <w:r>
        <w:t>2.6 环境危害：不适用</w:t>
      </w:r>
    </w:p>
    <w:p>
      <w:pPr>
        <w:pStyle w:val="3"/>
        <w:spacing w:line="220" w:lineRule="exact"/>
      </w:pPr>
      <w:r>
        <w:rPr>
          <w:w w:val="96"/>
        </w:rPr>
        <w:t xml:space="preserve"> </w:t>
      </w:r>
      <w:r>
        <w:t>2.7 其他危害物：本物质未作为持久性,生物累积性和毒性物质(PBT)。本物质未作为高持久性,高生物累积性物质(vPvB)。</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1"/>
        <w:ind w:left="140"/>
      </w:pPr>
      <w:r>
        <w:t>主要成分：甲醇</w:t>
      </w:r>
      <w:r>
        <w:tab/>
      </w:r>
      <w:r>
        <w:rPr>
          <w:w w:val="95"/>
        </w:rPr>
        <w:t>67-56-1</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1"/>
        <w:ind w:left="140"/>
      </w:pPr>
      <w:r>
        <w:t>次要成分：</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spacing w:after="0"/>
        <w:sectPr>
          <w:footerReference r:id="rId5" w:type="default"/>
          <w:pgSz w:w="11900" w:h="16840"/>
          <w:pgMar w:top="760" w:right="600" w:bottom="700" w:left="620" w:header="0" w:footer="509" w:gutter="0"/>
          <w:pgNumType w:start="381"/>
          <w:cols w:space="720" w:num="1"/>
        </w:sectPr>
      </w:pPr>
    </w:p>
    <w:p>
      <w:pPr>
        <w:pStyle w:val="3"/>
        <w:spacing w:before="50"/>
      </w:pPr>
      <w:r>
        <w:rPr>
          <w:w w:val="95"/>
        </w:rPr>
        <w:t xml:space="preserve">     </w:t>
      </w:r>
      <w:r>
        <w:t>吸入：如果吸入,请将患者移到新鲜空气处。如呼吸停止，进行人工呼吸。请教医生。</w:t>
      </w:r>
    </w:p>
    <w:p>
      <w:pPr>
        <w:pStyle w:val="3"/>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pStyle w:val="3"/>
        <w:spacing w:before="40"/>
      </w:pPr>
      <w:r>
        <w:rPr>
          <w:w w:val="95"/>
        </w:rPr>
        <w:t xml:space="preserve">     </w:t>
      </w:r>
      <w:r>
        <w:t>食入：切勿给失去知觉者从嘴里喂食任何东西。用水漱口。请教医生。</w:t>
      </w:r>
    </w:p>
    <w:p>
      <w:pPr>
        <w:pStyle w:val="3"/>
        <w:spacing w:line="280" w:lineRule="auto"/>
        <w:ind w:right="119"/>
      </w:pPr>
      <w:r>
        <w:rPr>
          <w:w w:val="96"/>
        </w:rPr>
        <w:t xml:space="preserve"> </w:t>
      </w:r>
      <w:r>
        <w:rPr>
          <w:w w:val="95"/>
        </w:rPr>
        <w:t>4.2 主要症状和影响，急性和迟发效应：如吞服甲醇可能致命或致盲。摄入的影响可包括：头痛,头晕,嗜睡,代谢性酸中毒,昏迷,癫痫症</w:t>
      </w:r>
      <w:r>
        <w:t>状会延迟出现,损伤：肝,肾</w:t>
      </w:r>
    </w:p>
    <w:p>
      <w:pPr>
        <w:pStyle w:val="3"/>
        <w:spacing w:before="1"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5.消防措施</w:t>
      </w:r>
    </w:p>
    <w:p>
      <w:pPr>
        <w:pStyle w:val="3"/>
      </w:pPr>
      <w:r>
        <w:rPr>
          <w:w w:val="93"/>
        </w:rPr>
        <w:t xml:space="preserve"> </w:t>
      </w:r>
      <w:r>
        <w:t>5.1 特别危险性描述：无资料</w:t>
      </w:r>
    </w:p>
    <w:p>
      <w:pPr>
        <w:pStyle w:val="3"/>
      </w:pPr>
      <w:r>
        <w:rPr>
          <w:w w:val="95"/>
        </w:rPr>
        <w:t xml:space="preserve"> </w:t>
      </w:r>
      <w:r>
        <w:t>5.2 灭火方法或灭火剂：用水雾,抗乙醇泡沫,干粉或二氧化碳灭火。</w:t>
      </w:r>
    </w:p>
    <w:p>
      <w:pPr>
        <w:pStyle w:val="3"/>
        <w:spacing w:before="40"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line="280" w:lineRule="auto"/>
        <w:ind w:right="214"/>
      </w:pPr>
      <w:r>
        <w:rPr>
          <w:w w:val="98"/>
        </w:rPr>
        <w:t xml:space="preserve"> </w:t>
      </w:r>
      <w:r>
        <w:rPr>
          <w:w w:val="95"/>
        </w:rPr>
        <w:t>6.1   作业人员的防护措施、防护设备和应急处置程序：戴呼吸罩。避免吸入蒸气、烟雾或气体。保证充分的通风。移去所有火源。人</w:t>
      </w:r>
      <w:r>
        <w:t>员疏散到安全区域。</w:t>
      </w:r>
    </w:p>
    <w:p>
      <w:pPr>
        <w:pStyle w:val="3"/>
        <w:spacing w:before="0"/>
      </w:pPr>
      <w:r>
        <w:rPr>
          <w:w w:val="97"/>
        </w:rPr>
        <w:t xml:space="preserve"> </w:t>
      </w:r>
      <w:r>
        <w:t>6.2 环境保护措施：如能确保安全，可采取措施防止进一步的泄漏或溢出。不要让产品进入下水道。</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7.操作处置与储存</w:t>
      </w:r>
    </w:p>
    <w:p>
      <w:pPr>
        <w:pStyle w:val="3"/>
      </w:pPr>
      <w:r>
        <w:rPr>
          <w:w w:val="98"/>
        </w:rPr>
        <w:t xml:space="preserve"> </w:t>
      </w:r>
      <w:r>
        <w:t>7.1 安全处置注意事项：避免接触皮肤和眼睛。避免吸入蒸气和烟雾。切勿靠近火源。－严禁烟火。采取措施防止静电积聚。</w:t>
      </w:r>
    </w:p>
    <w:p>
      <w:pPr>
        <w:pStyle w:val="3"/>
        <w:spacing w:line="280" w:lineRule="auto"/>
        <w:ind w:right="185"/>
      </w:pPr>
      <w:r>
        <w:rPr>
          <w:w w:val="98"/>
        </w:rPr>
        <w:t xml:space="preserve"> </w:t>
      </w:r>
      <w:r>
        <w:rPr>
          <w:w w:val="95"/>
        </w:rPr>
        <w:t>7.2   安全储存注意事项：储存于阴凉、通风的库房。远离火种、热源。库温不宜超过29℃。保持容器密封。应与氧化剂分开存放，切</w:t>
      </w:r>
      <w:r>
        <w:t>忌混储。采用防爆型照明、通风设施。禁止使用易产生火花的机械设备和工具。储区应备有泄漏应急处理设备和合适的收容材料。</w:t>
      </w:r>
    </w:p>
    <w:p>
      <w:pPr>
        <w:pStyle w:val="3"/>
        <w:spacing w:before="1"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pPr>
      <w:r>
        <w:rPr>
          <w:w w:val="93"/>
        </w:rPr>
        <w:t xml:space="preserve"> </w:t>
      </w:r>
      <w:r>
        <w:t>8.1 作业场所职业接触限值：</w:t>
      </w:r>
    </w:p>
    <w:p>
      <w:pPr>
        <w:pStyle w:val="3"/>
      </w:pPr>
      <w:r>
        <w:rPr>
          <w:w w:val="105"/>
        </w:rPr>
        <w:t xml:space="preserve"> MAC(mg/m3)：无资料</w:t>
      </w:r>
    </w:p>
    <w:p>
      <w:pPr>
        <w:pStyle w:val="3"/>
        <w:spacing w:before="40"/>
      </w:pPr>
      <w:r>
        <w:rPr>
          <w:w w:val="100"/>
        </w:rPr>
        <w:t xml:space="preserve"> </w:t>
      </w:r>
      <w:r>
        <w:t>PC-STEL(mg/m3)：无资料</w:t>
      </w:r>
    </w:p>
    <w:p>
      <w:pPr>
        <w:pStyle w:val="3"/>
      </w:pPr>
      <w:r>
        <w:rPr>
          <w:w w:val="106"/>
        </w:rPr>
        <w:t xml:space="preserve"> </w:t>
      </w:r>
      <w:r>
        <w:rPr>
          <w:w w:val="105"/>
        </w:rPr>
        <w:t>TLV-TWA(mg/m3)：无资料</w:t>
      </w:r>
    </w:p>
    <w:p>
      <w:pPr>
        <w:pStyle w:val="3"/>
        <w:spacing w:before="40"/>
      </w:pPr>
      <w:r>
        <w:rPr>
          <w:w w:val="105"/>
        </w:rPr>
        <w:t xml:space="preserve"> PC-TWA(mg/m3)：无资料</w:t>
      </w:r>
    </w:p>
    <w:p>
      <w:pPr>
        <w:pStyle w:val="3"/>
      </w:pPr>
      <w:r>
        <w:rPr>
          <w:w w:val="101"/>
        </w:rPr>
        <w:t xml:space="preserve"> </w:t>
      </w:r>
      <w:r>
        <w:t>TLV-C(mg/m3)：无资料</w:t>
      </w:r>
    </w:p>
    <w:p>
      <w:pPr>
        <w:pStyle w:val="3"/>
      </w:pPr>
      <w:r>
        <w:rPr>
          <w:w w:val="103"/>
        </w:rPr>
        <w:t xml:space="preserve"> </w:t>
      </w:r>
      <w:r>
        <w:rPr>
          <w:w w:val="105"/>
        </w:rPr>
        <w:t>TLV=STEL(mg/m3)：无资料</w:t>
      </w:r>
    </w:p>
    <w:p>
      <w:pPr>
        <w:pStyle w:val="3"/>
        <w:spacing w:before="40"/>
      </w:pPr>
      <w:r>
        <w:rPr>
          <w:w w:val="91"/>
        </w:rPr>
        <w:t xml:space="preserve"> </w:t>
      </w:r>
      <w:r>
        <w:t>8.2 检测方法：无资料</w:t>
      </w:r>
    </w:p>
    <w:p>
      <w:pPr>
        <w:pStyle w:val="3"/>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before="40"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90"/>
        </w:rPr>
        <w:t xml:space="preserve">     </w:t>
      </w:r>
      <w:r>
        <w:t>手防护：戴防毒物渗透手套。</w:t>
      </w:r>
    </w:p>
    <w:p>
      <w:pPr>
        <w:pStyle w:val="3"/>
        <w:spacing w:before="40"/>
      </w:pPr>
      <w:r>
        <w:rPr>
          <w:w w:val="95"/>
        </w:rPr>
        <w:t xml:space="preserve">     </w:t>
      </w:r>
      <w:r>
        <w:t>眼睛防护：面罩與安全眼鏡请使用经官方标准检测与批准的设备防护眼部。</w:t>
      </w:r>
    </w:p>
    <w:p>
      <w:pPr>
        <w:pStyle w:val="3"/>
      </w:pPr>
      <w:r>
        <w:rPr>
          <w:w w:val="95"/>
        </w:rPr>
        <w:t xml:space="preserve">     </w:t>
      </w:r>
      <w:r>
        <w:t>皮肤和身体防护：穿防毒物渗透工作服。穿防静电阻燃防护服。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外观与性状：无色澄清液体，有刺激性气味。</w:t>
      </w:r>
      <w:r>
        <w:tab/>
      </w:r>
      <w:r>
        <w:t>气味：有刺激性气味</w:t>
      </w:r>
    </w:p>
    <w:p>
      <w:pPr>
        <w:pStyle w:val="3"/>
        <w:tabs>
          <w:tab w:val="left" w:pos="6415"/>
        </w:tabs>
        <w:spacing w:before="8"/>
        <w:ind w:left="140"/>
      </w:pPr>
      <w:r>
        <w:rPr>
          <w:w w:val="105"/>
        </w:rPr>
        <w:t>气味阈值：无资料</w:t>
      </w:r>
      <w:r>
        <w:rPr>
          <w:w w:val="105"/>
        </w:rPr>
        <w:tab/>
      </w:r>
      <w:r>
        <w:rPr>
          <w:w w:val="105"/>
        </w:rPr>
        <w:t>pH：无资料</w:t>
      </w:r>
    </w:p>
    <w:p>
      <w:pPr>
        <w:pStyle w:val="3"/>
        <w:tabs>
          <w:tab w:val="left" w:pos="6415"/>
        </w:tabs>
        <w:spacing w:before="8"/>
        <w:ind w:left="140"/>
      </w:pPr>
      <w:r>
        <w:rPr>
          <w:w w:val="95"/>
        </w:rPr>
        <w:t>熔点/凝固点(℃)：-98℃</w:t>
      </w:r>
      <w:r>
        <w:rPr>
          <w:w w:val="95"/>
        </w:rPr>
        <w:tab/>
      </w:r>
      <w:r>
        <w:t>沸点、初沸点、沸程(℃)：64-65℃/760mmHg</w:t>
      </w:r>
    </w:p>
    <w:p>
      <w:pPr>
        <w:pStyle w:val="3"/>
        <w:tabs>
          <w:tab w:val="left" w:pos="6415"/>
        </w:tabs>
        <w:spacing w:before="7"/>
        <w:ind w:left="140"/>
      </w:pPr>
      <w:r>
        <w:rPr>
          <w:w w:val="90"/>
        </w:rPr>
        <w:t>密度/相对密度(水=1)：ρ(20)0.791-0.793g/mL</w:t>
      </w:r>
      <w:r>
        <w:rPr>
          <w:w w:val="90"/>
        </w:rPr>
        <w:tab/>
      </w:r>
      <w:r>
        <w:rPr>
          <w:w w:val="90"/>
        </w:rPr>
        <w:t>蒸汽密度(空气=1)：1.11</w:t>
      </w:r>
    </w:p>
    <w:p>
      <w:pPr>
        <w:pStyle w:val="3"/>
        <w:tabs>
          <w:tab w:val="left" w:pos="6415"/>
        </w:tabs>
        <w:spacing w:before="8"/>
        <w:ind w:left="140"/>
      </w:pPr>
      <w:r>
        <w:rPr>
          <w:w w:val="90"/>
        </w:rPr>
        <w:t>蒸汽压(kPa)：130.3hPa(20.0℃)</w:t>
      </w:r>
      <w:r>
        <w:rPr>
          <w:w w:val="90"/>
        </w:rPr>
        <w:tab/>
      </w:r>
      <w:r>
        <w:rPr>
          <w:w w:val="90"/>
        </w:rP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8"/>
        <w:ind w:left="140"/>
      </w:pPr>
      <w:r>
        <w:rPr>
          <w:w w:val="95"/>
        </w:rPr>
        <w:t>辛醇/水分配系数的对数值：-0.77</w:t>
      </w:r>
      <w:r>
        <w:rPr>
          <w:w w:val="95"/>
        </w:rPr>
        <w:tab/>
      </w:r>
      <w:r>
        <w:t>闪点(℃)：51.8℉/11℃</w:t>
      </w:r>
    </w:p>
    <w:p>
      <w:pPr>
        <w:pStyle w:val="3"/>
        <w:tabs>
          <w:tab w:val="left" w:pos="6415"/>
        </w:tabs>
        <w:spacing w:before="8"/>
        <w:ind w:left="140"/>
      </w:pPr>
      <w:r>
        <w:rPr>
          <w:w w:val="95"/>
        </w:rPr>
        <w:t>自燃温度(℃)：455.0℃在1,013hPa</w:t>
      </w:r>
      <w:r>
        <w:rPr>
          <w:w w:val="95"/>
        </w:rPr>
        <w:tab/>
      </w:r>
      <w:r>
        <w:t>爆炸上限%（V/V）：无资料</w:t>
      </w:r>
    </w:p>
    <w:p>
      <w:pPr>
        <w:pStyle w:val="3"/>
        <w:tabs>
          <w:tab w:val="left" w:pos="6415"/>
        </w:tabs>
        <w:spacing w:before="7"/>
        <w:ind w:left="140"/>
      </w:pPr>
      <w:r>
        <w:t>溶解性：可混溶于水、醇、醚等多数有机溶剂。</w:t>
      </w:r>
      <w:r>
        <w:tab/>
      </w:r>
      <w:r>
        <w:t>爆炸下限%（V/V）：无资料</w:t>
      </w:r>
    </w:p>
    <w:p>
      <w:pPr>
        <w:pStyle w:val="3"/>
        <w:tabs>
          <w:tab w:val="left" w:pos="6415"/>
        </w:tabs>
        <w:spacing w:before="8"/>
        <w:ind w:left="140"/>
      </w:pPr>
      <w:r>
        <w:t>易燃性（固体、气体）：无资料</w:t>
      </w:r>
      <w:r>
        <w:tab/>
      </w:r>
      <w:r>
        <w:t>蒸发速率：无资料</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1"/>
      </w:pPr>
      <w:r>
        <w:t>10.稳定性和反应性</w:t>
      </w:r>
    </w:p>
    <w:p>
      <w:pPr>
        <w:pStyle w:val="3"/>
      </w:pPr>
      <w:r>
        <w:rPr>
          <w:w w:val="90"/>
        </w:rPr>
        <w:t xml:space="preserve"> </w:t>
      </w:r>
      <w:r>
        <w:t>10.1 稳定性：无资料</w:t>
      </w:r>
    </w:p>
    <w:p>
      <w:pPr>
        <w:pStyle w:val="3"/>
      </w:pPr>
      <w:r>
        <w:rPr>
          <w:w w:val="91"/>
        </w:rPr>
        <w:t xml:space="preserve"> </w:t>
      </w:r>
      <w:r>
        <w:t>10.2 危险反应：无资料</w:t>
      </w:r>
    </w:p>
    <w:p>
      <w:pPr>
        <w:pStyle w:val="3"/>
        <w:spacing w:before="40"/>
      </w:pPr>
      <w:r>
        <w:rPr>
          <w:w w:val="95"/>
        </w:rPr>
        <w:t xml:space="preserve"> </w:t>
      </w:r>
      <w:r>
        <w:t>10.3 应避免的条件：热,火焰和火花。极端温度和直接日晒。</w:t>
      </w:r>
    </w:p>
    <w:p>
      <w:pPr>
        <w:spacing w:after="0"/>
        <w:sectPr>
          <w:pgSz w:w="11900" w:h="16840"/>
          <w:pgMar w:top="760" w:right="600" w:bottom="700" w:left="620" w:header="0" w:footer="509" w:gutter="0"/>
          <w:cols w:space="720" w:num="1"/>
        </w:sectPr>
      </w:pPr>
    </w:p>
    <w:p>
      <w:pPr>
        <w:pStyle w:val="3"/>
        <w:spacing w:before="50"/>
      </w:pPr>
      <w:r>
        <w:rPr>
          <w:w w:val="91"/>
        </w:rPr>
        <w:t xml:space="preserve"> </w:t>
      </w:r>
      <w:r>
        <w:t>10.4 不相容物质：酰基氯,酸酐,氧化剂,碱金属,还原剂,酸</w:t>
      </w:r>
    </w:p>
    <w:p>
      <w:pPr>
        <w:pStyle w:val="3"/>
        <w:spacing w:line="220" w:lineRule="exact"/>
      </w:pPr>
      <w:r>
        <w:rPr>
          <w:w w:val="95"/>
        </w:rPr>
        <w:t xml:space="preserve"> </w:t>
      </w:r>
      <w:r>
        <w:t>10.5 危险的分解产物：其它分解产物-无数据资料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spacing w:before="40"/>
      </w:pPr>
      <w:r>
        <w:rPr>
          <w:w w:val="96"/>
        </w:rPr>
        <w:t xml:space="preserve"> </w:t>
      </w:r>
      <w:r>
        <w:rPr>
          <w:w w:val="95"/>
        </w:rPr>
        <w:t>11.1 急性毒性：最低致死剂量经口-人-143mg/kg备注:肺，胸，或者呼吸系统：呼吸困难摄入可能会引起肠胃刺激,恶心,呕吐和腹泻。</w:t>
      </w:r>
    </w:p>
    <w:p>
      <w:pPr>
        <w:pStyle w:val="3"/>
      </w:pPr>
      <w:r>
        <w:rPr>
          <w:w w:val="94"/>
        </w:rPr>
        <w:t xml:space="preserve"> </w:t>
      </w:r>
      <w:r>
        <w:rPr>
          <w:w w:val="95"/>
        </w:rPr>
        <w:t>11.2</w:t>
      </w:r>
      <w:r>
        <w:rPr>
          <w:spacing w:val="-6"/>
          <w:w w:val="95"/>
        </w:rPr>
        <w:t xml:space="preserve"> 皮肤刺激或腐蚀：皮肤-兔子-无皮肤刺激</w:t>
      </w:r>
    </w:p>
    <w:p>
      <w:pPr>
        <w:pStyle w:val="3"/>
      </w:pPr>
      <w:r>
        <w:rPr>
          <w:w w:val="94"/>
        </w:rPr>
        <w:t xml:space="preserve"> </w:t>
      </w:r>
      <w:r>
        <w:rPr>
          <w:w w:val="95"/>
        </w:rPr>
        <w:t>11.3</w:t>
      </w:r>
      <w:r>
        <w:rPr>
          <w:spacing w:val="-6"/>
          <w:w w:val="95"/>
        </w:rPr>
        <w:t xml:space="preserve"> 眼睛刺激和腐蚀：眼睛-兔子-无眼睛刺激</w:t>
      </w:r>
    </w:p>
    <w:p>
      <w:pPr>
        <w:pStyle w:val="3"/>
        <w:spacing w:before="40"/>
      </w:pPr>
      <w:r>
        <w:rPr>
          <w:w w:val="96"/>
        </w:rPr>
        <w:t xml:space="preserve"> </w:t>
      </w:r>
      <w:r>
        <w:t>11.4 呼吸或皮肤过敏：过敏原的最大化试验-豚鼠-经济合作与发展组织的试验指南406-不引起皮肤过敏。</w:t>
      </w:r>
    </w:p>
    <w:p>
      <w:pPr>
        <w:pStyle w:val="3"/>
        <w:spacing w:line="280" w:lineRule="auto"/>
        <w:ind w:right="270"/>
      </w:pPr>
      <w:r>
        <w:rPr>
          <w:w w:val="97"/>
        </w:rPr>
        <w:t xml:space="preserve"> </w:t>
      </w:r>
      <w:r>
        <w:rPr>
          <w:w w:val="95"/>
        </w:rPr>
        <w:t>11.5  生殖细胞突变性：细胞突变性-体外试验-Ames</w:t>
      </w:r>
      <w:r>
        <w:rPr>
          <w:spacing w:val="-1"/>
          <w:w w:val="95"/>
        </w:rPr>
        <w:t>试验(艾姆斯试验)-鼠伤寒沙门氏菌-有或没有代谢活化作用-阴性细胞突变性-体外</w:t>
      </w:r>
      <w:r>
        <w:t>试验-体外实验-成纤维细胞-阴性哺乳动物体细胞突变细胞突变性-体内试验-小鼠-雄性和雌性-腹膜内的-阴性</w:t>
      </w:r>
    </w:p>
    <w:p>
      <w:pPr>
        <w:pStyle w:val="3"/>
        <w:spacing w:before="0"/>
      </w:pPr>
      <w:r>
        <w:rPr>
          <w:w w:val="99"/>
        </w:rPr>
        <w:t xml:space="preserve"> </w:t>
      </w:r>
      <w:r>
        <w:rPr>
          <w:w w:val="95"/>
        </w:rPr>
        <w:t>11.6     致癌性：IARC:此产品中没有大于或等于0。1%含量的组分被IARC鉴别为可能的或肯定的人类致癌物。</w:t>
      </w:r>
    </w:p>
    <w:p>
      <w:pPr>
        <w:pStyle w:val="3"/>
        <w:spacing w:before="40"/>
      </w:pPr>
      <w:r>
        <w:rPr>
          <w:w w:val="97"/>
        </w:rPr>
        <w:t xml:space="preserve"> </w:t>
      </w:r>
      <w:r>
        <w:t>11.7 生殖毒性：对胎儿的损害没有划分级别根据现有资料不可能对生育能力的毒性分类。</w:t>
      </w:r>
    </w:p>
    <w:p>
      <w:pPr>
        <w:pStyle w:val="3"/>
      </w:pPr>
      <w:r>
        <w:rPr>
          <w:w w:val="96"/>
        </w:rPr>
        <w:t xml:space="preserve"> </w:t>
      </w:r>
      <w:r>
        <w:t>11.8 特异性靶器官系统毒性（一次接触）：对器官造成损害。</w:t>
      </w:r>
    </w:p>
    <w:p>
      <w:pPr>
        <w:pStyle w:val="3"/>
      </w:pPr>
      <w:r>
        <w:rPr>
          <w:w w:val="98"/>
        </w:rPr>
        <w:t xml:space="preserve"> </w:t>
      </w:r>
      <w:r>
        <w:t>11.9 特异性靶器官系统毒性（反复接触）：此物质或混合物未被分类为特殊的靶器官毒性物，反复接触暴露。</w:t>
      </w:r>
    </w:p>
    <w:p>
      <w:pPr>
        <w:pStyle w:val="3"/>
        <w:spacing w:before="40"/>
      </w:pPr>
      <w:r>
        <w:rPr>
          <w:w w:val="91"/>
        </w:rPr>
        <w:t xml:space="preserve"> </w:t>
      </w:r>
      <w:r>
        <w:rPr>
          <w:w w:val="90"/>
        </w:rPr>
        <w:t>11.10 吸入危险：无资料</w:t>
      </w:r>
    </w:p>
    <w:p>
      <w:pPr>
        <w:pStyle w:val="3"/>
      </w:pPr>
      <w:r>
        <w:rPr>
          <w:w w:val="91"/>
        </w:rPr>
        <w:t xml:space="preserve"> </w:t>
      </w:r>
      <w:r>
        <w:rPr>
          <w:w w:val="90"/>
        </w:rPr>
        <w:t>11.11 潜在的健康危险：</w:t>
      </w:r>
    </w:p>
    <w:p>
      <w:pPr>
        <w:pStyle w:val="3"/>
        <w:spacing w:before="40"/>
      </w:pPr>
      <w:r>
        <w:rPr>
          <w:w w:val="98"/>
        </w:rPr>
        <w:t xml:space="preserve"> </w:t>
      </w:r>
      <w:r>
        <w:t>吸入：吸入会中毒。可能引起呼吸道刺激。</w:t>
      </w:r>
    </w:p>
    <w:p>
      <w:pPr>
        <w:pStyle w:val="3"/>
      </w:pPr>
      <w:r>
        <w:rPr>
          <w:w w:val="96"/>
        </w:rPr>
        <w:t xml:space="preserve"> </w:t>
      </w:r>
      <w:r>
        <w:t>摄入：误吞会中毒。</w:t>
      </w:r>
    </w:p>
    <w:p>
      <w:pPr>
        <w:pStyle w:val="3"/>
      </w:pPr>
      <w:r>
        <w:rPr>
          <w:w w:val="98"/>
        </w:rPr>
        <w:t xml:space="preserve"> </w:t>
      </w:r>
      <w:r>
        <w:t>皮肤：如果被皮肤吸收会有毒性可能引起皮肤刺激。</w:t>
      </w:r>
    </w:p>
    <w:p>
      <w:pPr>
        <w:pStyle w:val="3"/>
        <w:spacing w:before="40" w:line="220" w:lineRule="exact"/>
      </w:pPr>
      <w:r>
        <w:rPr>
          <w:w w:val="97"/>
        </w:rPr>
        <w:t xml:space="preserve"> </w:t>
      </w:r>
      <w:r>
        <w:t>眼睛：可能引起眼睛刺激。</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12.生态学信息</w:t>
      </w:r>
    </w:p>
    <w:p>
      <w:pPr>
        <w:pStyle w:val="3"/>
        <w:spacing w:line="280" w:lineRule="auto"/>
        <w:ind w:right="235"/>
      </w:pPr>
      <w:r>
        <w:rPr>
          <w:w w:val="94"/>
        </w:rPr>
        <w:t xml:space="preserve"> </w:t>
      </w:r>
      <w:r>
        <w:rPr>
          <w:w w:val="90"/>
        </w:rPr>
        <w:t>12.1     生态毒性：对鱼类的毒性死亡率半数致死浓度(LC50)-蓝鳃太阳鱼-15,400.0mg/l-96h无可观察效应浓度-青鳉鱼-7,900mg/l-200h对水</w:t>
      </w:r>
      <w:r>
        <w:rPr>
          <w:w w:val="95"/>
        </w:rPr>
        <w:t xml:space="preserve">蚤和其他水生无脊椎动物的毒性半数效应浓度(EC50)-大型蚤(水蚤)-&gt;10,000.00mg/l-48h对藻类的毒性生长抑制半数效应浓度(EC50)- </w:t>
      </w:r>
      <w:r>
        <w:t>Scenedesmuscapricornutum(淡水藻)-22,000.0mg/l-96h</w:t>
      </w:r>
    </w:p>
    <w:p>
      <w:pPr>
        <w:pStyle w:val="3"/>
        <w:spacing w:before="1"/>
      </w:pPr>
      <w:r>
        <w:rPr>
          <w:w w:val="96"/>
        </w:rPr>
        <w:t xml:space="preserve"> </w:t>
      </w:r>
      <w:r>
        <w:t>12.2 持久性和降解性：生物降解能力好氧的-接触时间5d结果:72%-快速生物降解</w:t>
      </w:r>
    </w:p>
    <w:p>
      <w:pPr>
        <w:pStyle w:val="3"/>
      </w:pPr>
      <w:r>
        <w:rPr>
          <w:w w:val="94"/>
        </w:rPr>
        <w:t xml:space="preserve"> </w:t>
      </w:r>
      <w:r>
        <w:t>12.3 潜在的生物累积性：生物富集或生物积累性鲫属(鲤鱼)-72d(20℃)-5mg/l生物富集因子(BCF):1.0</w:t>
      </w:r>
    </w:p>
    <w:p>
      <w:pPr>
        <w:pStyle w:val="3"/>
      </w:pPr>
      <w:r>
        <w:rPr>
          <w:w w:val="94"/>
        </w:rPr>
        <w:t xml:space="preserve"> </w:t>
      </w:r>
      <w:r>
        <w:t>12.4 土壤中的迁移性：将不被土壤吸附。</w:t>
      </w:r>
    </w:p>
    <w:p>
      <w:pPr>
        <w:pStyle w:val="3"/>
        <w:spacing w:before="40" w:line="220" w:lineRule="exact"/>
      </w:pPr>
      <w:r>
        <w:rPr>
          <w:w w:val="97"/>
        </w:rPr>
        <w:t xml:space="preserve"> </w:t>
      </w:r>
      <w:r>
        <w:t>12.5 其它不良影响：其它生态信息避免释放到环境中。生物耗氧量(BOD)600-1,120mg/g化学耗氧量(COD)1,420mg/g</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13.废弃处置</w:t>
      </w:r>
    </w:p>
    <w:p>
      <w:pPr>
        <w:pStyle w:val="3"/>
        <w:spacing w:line="280" w:lineRule="auto"/>
        <w:ind w:right="184"/>
      </w:pPr>
      <w:r>
        <w:rPr>
          <w:w w:val="97"/>
        </w:rPr>
        <w:t xml:space="preserve"> </w:t>
      </w:r>
      <w:r>
        <w:rPr>
          <w:w w:val="95"/>
        </w:rPr>
        <w:t>13.1  残余废弃物处置方法：产品：在装备有加力燃烧室和洗刷设备的化学焚烧炉内燃烧处理,特别在点燃的时候要注意,因为此物质是</w:t>
      </w:r>
      <w:r>
        <w:t>高度易燃性物质将剩余的和不可回收的溶液交给有许可证的公司处理。</w:t>
      </w:r>
    </w:p>
    <w:p>
      <w:pPr>
        <w:pStyle w:val="3"/>
        <w:spacing w:before="1"/>
      </w:pPr>
      <w:r>
        <w:rPr>
          <w:w w:val="95"/>
        </w:rPr>
        <w:t xml:space="preserve"> </w:t>
      </w:r>
      <w:r>
        <w:t>13.2 受污染的容器和包装：按未用产品处置</w:t>
      </w:r>
    </w:p>
    <w:p>
      <w:pPr>
        <w:pStyle w:val="3"/>
        <w:spacing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14.运输信息</w:t>
      </w:r>
    </w:p>
    <w:p>
      <w:pPr>
        <w:pStyle w:val="3"/>
      </w:pPr>
      <w:r>
        <w:rPr>
          <w:w w:val="96"/>
        </w:rPr>
        <w:t xml:space="preserve">  </w:t>
      </w:r>
      <w:r>
        <w:t>危规号CN：32058</w:t>
      </w:r>
    </w:p>
    <w:p>
      <w:pPr>
        <w:pStyle w:val="3"/>
        <w:spacing w:before="40"/>
      </w:pPr>
      <w:r>
        <w:rPr>
          <w:w w:val="94"/>
        </w:rPr>
        <w:t xml:space="preserve">  </w:t>
      </w:r>
      <w:r>
        <w:rPr>
          <w:w w:val="90"/>
        </w:rPr>
        <w:t>联合国危险货物编号：1230</w:t>
      </w:r>
    </w:p>
    <w:p>
      <w:pPr>
        <w:pStyle w:val="3"/>
      </w:pPr>
      <w:r>
        <w:rPr>
          <w:w w:val="93"/>
        </w:rPr>
        <w:t xml:space="preserve">  </w:t>
      </w:r>
      <w:r>
        <w:rPr>
          <w:w w:val="90"/>
        </w:rPr>
        <w:t>联合国运输名称：Methanol</w:t>
      </w:r>
    </w:p>
    <w:p>
      <w:pPr>
        <w:pStyle w:val="3"/>
        <w:spacing w:before="40"/>
      </w:pPr>
      <w:r>
        <w:rPr>
          <w:w w:val="92"/>
        </w:rPr>
        <w:t xml:space="preserve">  </w:t>
      </w:r>
      <w:r>
        <w:rPr>
          <w:w w:val="90"/>
        </w:rPr>
        <w:t>联合国危险性分类：3、6.1</w:t>
      </w:r>
    </w:p>
    <w:p>
      <w:pPr>
        <w:pStyle w:val="3"/>
      </w:pPr>
      <w:r>
        <w:rPr>
          <w:w w:val="90"/>
        </w:rPr>
        <w:t xml:space="preserve">  </w:t>
      </w:r>
      <w:r>
        <w:t>包装组：Ⅱ</w:t>
      </w:r>
    </w:p>
    <w:p>
      <w:pPr>
        <w:pStyle w:val="3"/>
      </w:pPr>
      <w:r>
        <w:rPr>
          <w:w w:val="93"/>
        </w:rPr>
        <w:t xml:space="preserve">  </w:t>
      </w:r>
      <w:r>
        <w:t>包装方法：无资料</w:t>
      </w:r>
    </w:p>
    <w:p>
      <w:pPr>
        <w:pStyle w:val="3"/>
        <w:spacing w:before="40"/>
      </w:pPr>
      <w:r>
        <w:rPr>
          <w:w w:val="93"/>
        </w:rPr>
        <w:t xml:space="preserve">  </w:t>
      </w:r>
      <w:r>
        <w:t>海洋污染物（是/否）：否</w:t>
      </w:r>
    </w:p>
    <w:p>
      <w:pPr>
        <w:pStyle w:val="3"/>
        <w:spacing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15.法规信息</w:t>
      </w:r>
    </w:p>
    <w:p>
      <w:pPr>
        <w:pStyle w:val="3"/>
      </w:pPr>
      <w:r>
        <w:t>下列法律法规和标准，对化学品的安全使用、储存、运输、装卸、分类和标志等方面均作了相应的规定：</w:t>
      </w:r>
    </w:p>
    <w:p>
      <w:pPr>
        <w:pStyle w:val="3"/>
        <w:spacing w:before="40"/>
      </w:pPr>
      <w:r>
        <w:rPr>
          <w:w w:val="88"/>
        </w:rPr>
        <w:t xml:space="preserve">        </w:t>
      </w:r>
      <w:r>
        <w:t>《危险化学品名录》（2015版）：列入</w:t>
      </w:r>
    </w:p>
    <w:p>
      <w:pPr>
        <w:pStyle w:val="3"/>
      </w:pPr>
      <w:r>
        <w:rPr>
          <w:w w:val="89"/>
        </w:rPr>
        <w:t xml:space="preserve">        </w:t>
      </w:r>
      <w:r>
        <w:t>《易制毒化学品名录》（2002版）：未列入</w:t>
      </w:r>
    </w:p>
    <w:p>
      <w:pPr>
        <w:pStyle w:val="3"/>
        <w:spacing w:before="40"/>
      </w:pPr>
      <w:r>
        <w:rPr>
          <w:w w:val="90"/>
        </w:rPr>
        <w:t xml:space="preserve">        </w:t>
      </w:r>
      <w:r>
        <w:t>《易制爆危险化学品名录》（2011版）：未列入</w:t>
      </w:r>
    </w:p>
    <w:p>
      <w:pPr>
        <w:pStyle w:val="3"/>
      </w:pPr>
      <w:r>
        <w:rPr>
          <w:w w:val="92"/>
        </w:rPr>
        <w:t xml:space="preserve">        </w:t>
      </w:r>
      <w:r>
        <w:t>化学品分类、警示标签和警示性说明规范系列标准（GB 20576～GB 20602）</w:t>
      </w:r>
    </w:p>
    <w:p>
      <w:pPr>
        <w:pStyle w:val="3"/>
        <w:spacing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16.其他信息</w:t>
      </w:r>
    </w:p>
    <w:p>
      <w:pPr>
        <w:pStyle w:val="3"/>
        <w:spacing w:before="40"/>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spacing w:after="0"/>
        <w:sectPr>
          <w:pgSz w:w="11900" w:h="16840"/>
          <w:pgMar w:top="760" w:right="600" w:bottom="700" w:left="620" w:header="0" w:footer="509" w:gutter="0"/>
          <w:cols w:space="720" w:num="1"/>
        </w:sectPr>
      </w:pPr>
    </w:p>
    <w:p>
      <w:pPr>
        <w:pStyle w:val="3"/>
        <w:spacing w:before="50"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6362700</wp:posOffset>
              </wp:positionH>
              <wp:positionV relativeFrom="page">
                <wp:posOffset>10225405</wp:posOffset>
              </wp:positionV>
              <wp:extent cx="30416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165" cy="20447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381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1pt;margin-top:805.15pt;height:16.1pt;width:23.95pt;mso-position-horizontal-relative:page;mso-position-vertical-relative:page;z-index:-251656192;mso-width-relative:page;mso-height-relative:page;" filled="f" stroked="f" coordsize="21600,21600" o:gfxdata="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7gWii2wAAAA8BAAAPAAAAAAAAAAEAIAAAACIAAABkcnMvZG93bnJldi54bWxQ&#10;SwECFAAUAAAACACHTuJAhkDO0LsBAABxAwAADgAAAAAAAAABACAAAAAqAQAAZHJzL2Uyb0RvYy54&#10;bWxQSwUGAAAAAAYABgBZAQAAVwUAAAAA&#1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381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7D1374DD"/>
    <w:rsid w:val="16047413"/>
    <w:rsid w:val="7D137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2023-11-02T09:14:00Z</dcterms:created>
  <dc:creator>刘文丹。</dc:creator>
  <cp:lastModifiedBy>刘文丹。</cp:lastModifiedBy>
  <dcterms:modified xsi:type="dcterms:W3CDTF">2023-11-02T09:15:23Z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FB4A3D6D8A3B460F83ED9E3AC855E9D0_11</vt:lpwstr>
  </property>
</Properties>
</file>