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w w:val="95"/>
          <w:sz w:val="24"/>
          <w:szCs w:val="32"/>
          <w:lang w:eastAsia="zh-CN"/>
        </w:rPr>
      </w:pPr>
      <w:bookmarkStart w:id="0" w:name="_GoBack"/>
      <w:r>
        <w:rPr>
          <w:sz w:val="24"/>
          <w:szCs w:val="32"/>
        </w:rPr>
        <w:t>迭氮钠</w:t>
      </w:r>
      <w:r>
        <w:rPr>
          <w:rFonts w:hint="eastAsia"/>
          <w:sz w:val="24"/>
          <w:szCs w:val="32"/>
          <w:lang w:eastAsia="zh-CN"/>
        </w:rPr>
        <w:t>安全说明书</w:t>
      </w:r>
    </w:p>
    <w:bookmarkEnd w:id="0"/>
    <w:p>
      <w:pPr>
        <w:pStyle w:val="3"/>
        <w:spacing w:before="0" w:line="280" w:lineRule="auto"/>
        <w:ind w:right="9013"/>
      </w:pPr>
      <w:r>
        <w:rPr>
          <w:w w:val="95"/>
        </w:rPr>
        <w:t>1.化学品及企业标识</w:t>
      </w:r>
      <w:r>
        <w:t>中文名：迭氮钠</w:t>
      </w:r>
    </w:p>
    <w:p>
      <w:pPr>
        <w:pStyle w:val="3"/>
        <w:spacing w:before="0"/>
      </w:pPr>
      <w:r>
        <w:t>英文名：Sodium azide</w:t>
      </w:r>
    </w:p>
    <w:p>
      <w:pPr>
        <w:pStyle w:val="3"/>
        <w:spacing w:before="40" w:line="280" w:lineRule="auto"/>
        <w:ind w:right="5719"/>
      </w:pPr>
      <w:r>
        <w:t>中文别名：迭氮钠；迭氮化钠；三氮化钠；叠氮钠；叠氮化钠英文别名：Sodium azide;Sodium triazide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CSDS26628-22-8 迭氮钠</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89"/>
      </w:pPr>
      <w:r>
        <w:rPr>
          <w:w w:val="97"/>
        </w:rPr>
        <w:t xml:space="preserve"> </w:t>
      </w:r>
      <w:r>
        <w:rPr>
          <w:w w:val="95"/>
        </w:rPr>
        <w:t>2.1   紧急情况概述：无色六角结晶性粉末。吞咽或皮肤接触致命。长期吞咽或反复接触可能损害(脑)器官。对水生生物毒性极大并具有</w:t>
      </w:r>
      <w:r>
        <w:rPr>
          <w:spacing w:val="-3"/>
          <w:w w:val="95"/>
        </w:rPr>
        <w:t xml:space="preserve">长期持续影响。过量接触需采取特殊急救措施和进行医疗随访。用水雾,耐醇泡沫,干粉或二氧化碳灭火。如必要的话,戴自给式呼吸    </w:t>
      </w:r>
      <w:r>
        <w:t>器去救火。</w:t>
      </w:r>
    </w:p>
    <w:p>
      <w:pPr>
        <w:pStyle w:val="3"/>
        <w:spacing w:before="1" w:line="280" w:lineRule="auto"/>
        <w:ind w:right="410"/>
      </w:pPr>
      <w:r>
        <w:rPr>
          <w:w w:val="99"/>
        </w:rPr>
        <w:t xml:space="preserve"> </w:t>
      </w:r>
      <w:r>
        <w:rPr>
          <w:w w:val="95"/>
        </w:rPr>
        <w:t>2.2</w:t>
      </w:r>
      <w:r>
        <w:rPr>
          <w:spacing w:val="85"/>
          <w:w w:val="95"/>
        </w:rPr>
        <w:t xml:space="preserve"> </w:t>
      </w:r>
      <w:r>
        <w:rPr>
          <w:w w:val="95"/>
        </w:rPr>
        <w:t>GHS危险性分类：急性毒性（经口）（类别2）急性毒性（经皮）（类别1）特异性靶器官系统毒性（反复接触），经口（</w:t>
      </w:r>
      <w:r>
        <w:rPr>
          <w:spacing w:val="-9"/>
          <w:w w:val="95"/>
        </w:rPr>
        <w:t>类别</w:t>
      </w:r>
      <w:r>
        <w:t>2），脑急性水生毒性（类别1）慢性水生毒性（类别1）</w:t>
      </w:r>
    </w:p>
    <w:p>
      <w:pPr>
        <w:pStyle w:val="3"/>
        <w:spacing w:before="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189865</wp:posOffset>
            </wp:positionV>
            <wp:extent cx="762000" cy="762000"/>
            <wp:effectExtent l="0" t="0" r="0" b="0"/>
            <wp:wrapTopAndBottom/>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jpeg"/>
                    <pic:cNvPicPr>
                      <a:picLocks noChangeAspect="1"/>
                    </pic:cNvPicPr>
                  </pic:nvPicPr>
                  <pic:blipFill>
                    <a:blip r:embed="rId10"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8"/>
        </w:rPr>
        <w:t xml:space="preserve"> </w:t>
      </w:r>
      <w:r>
        <w:t>危险信息：吞咽或皮肤接触致命。长期吞咽或反复接触可能损害(脑)器官。对水生生物毒性极大并具有长期持续影响。</w:t>
      </w:r>
    </w:p>
    <w:p>
      <w:pPr>
        <w:pStyle w:val="3"/>
        <w:spacing w:line="280" w:lineRule="auto"/>
        <w:ind w:right="280"/>
      </w:pPr>
      <w:r>
        <w:rPr>
          <w:w w:val="99"/>
        </w:rPr>
        <w:t xml:space="preserve"> </w:t>
      </w:r>
      <w:r>
        <w:rPr>
          <w:spacing w:val="-1"/>
          <w:w w:val="95"/>
        </w:rPr>
        <w:t xml:space="preserve">预防措施：防止溅入眼睛、接触皮肤或衣服。操作后彻底清洁皮肤。使用本产品时不要进食、饮水或吸烟。避免释放到环境中。穿     </w:t>
      </w:r>
      <w:r>
        <w:t>戴防护手套/防护服。</w:t>
      </w:r>
    </w:p>
    <w:p>
      <w:pPr>
        <w:pStyle w:val="3"/>
        <w:spacing w:before="1" w:line="280" w:lineRule="auto"/>
        <w:ind w:right="195"/>
      </w:pPr>
      <w:r>
        <w:rPr>
          <w:w w:val="98"/>
        </w:rPr>
        <w:t xml:space="preserve"> </w:t>
      </w:r>
      <w:r>
        <w:rPr>
          <w:spacing w:val="-1"/>
          <w:w w:val="95"/>
        </w:rPr>
        <w:t xml:space="preserve">事故响应：如果吞下去了:立即呼救解毒中心或医生。如果在皮肤上:仔细地用大量肥皂和水洗。立即呼叫中毒控制中心或医生。具体    </w:t>
      </w:r>
      <w:r>
        <w:t>处置(见本标签上提供的急救指导)。漱口。立即除去/脱掉所有沾污的衣物。沾污的衣服清洗后方可再用。收集溢出物。</w:t>
      </w:r>
    </w:p>
    <w:p>
      <w:pPr>
        <w:pStyle w:val="3"/>
        <w:spacing w:before="0"/>
      </w:pPr>
      <w:r>
        <w:rPr>
          <w:w w:val="99"/>
        </w:rPr>
        <w:t xml:space="preserve"> </w:t>
      </w:r>
      <w:r>
        <w:t>安全存储：存放处须加锁。储存温度不超过32℃，相对湿度不超过80%。</w:t>
      </w:r>
    </w:p>
    <w:p>
      <w:pPr>
        <w:pStyle w:val="3"/>
      </w:pPr>
      <w:r>
        <w:rPr>
          <w:w w:val="96"/>
        </w:rPr>
        <w:t xml:space="preserve"> </w:t>
      </w:r>
      <w:r>
        <w:t>废弃处置：按照地方/区域/国家/国际规章处置内装物/容器。</w:t>
      </w:r>
    </w:p>
    <w:p>
      <w:pPr>
        <w:pStyle w:val="3"/>
        <w:spacing w:before="40"/>
      </w:pPr>
      <w:r>
        <w:rPr>
          <w:w w:val="94"/>
        </w:rPr>
        <w:t xml:space="preserve"> </w:t>
      </w:r>
      <w:r>
        <w:t>2.4 物理化学危险性信息：不适用</w:t>
      </w:r>
    </w:p>
    <w:p>
      <w:pPr>
        <w:pStyle w:val="3"/>
      </w:pPr>
      <w:r>
        <w:rPr>
          <w:w w:val="96"/>
        </w:rPr>
        <w:t xml:space="preserve"> </w:t>
      </w:r>
      <w:r>
        <w:t>2.5 健康危害：吞咽或皮肤接触致命。长期吞咽或反复接触可能损害(脑)器官。</w:t>
      </w:r>
    </w:p>
    <w:p>
      <w:pPr>
        <w:pStyle w:val="3"/>
        <w:spacing w:before="40"/>
      </w:pPr>
      <w:r>
        <w:rPr>
          <w:w w:val="96"/>
        </w:rPr>
        <w:t xml:space="preserve"> </w:t>
      </w:r>
      <w:r>
        <w:t>2.6 环境危害：对水生生物毒性极大并具有长期持续影响。</w:t>
      </w:r>
    </w:p>
    <w:p>
      <w:pPr>
        <w:pStyle w:val="3"/>
        <w:spacing w:before="0" w:line="270" w:lineRule="atLeast"/>
        <w:ind w:right="114"/>
      </w:pPr>
      <w:r>
        <w:rPr>
          <w:w w:val="97"/>
        </w:rPr>
        <w:t xml:space="preserve"> </w:t>
      </w:r>
      <w:r>
        <w:rPr>
          <w:w w:val="95"/>
        </w:rPr>
        <w:t>2.7   其他危害物：接触酸后即释放出剧毒气体。叠氮化钠可能会与铅管与铜管产生反应，生成高度易爆的金属叠氮化物,通过皮肤迅速</w:t>
      </w:r>
      <w:r>
        <w:t>吸收。</w:t>
      </w:r>
    </w:p>
    <w:p>
      <w:pPr>
        <w:spacing w:before="0" w:line="56" w:lineRule="exact"/>
        <w:ind w:left="100" w:right="0" w:firstLine="0"/>
        <w:jc w:val="left"/>
        <w:rPr>
          <w:sz w:val="6"/>
        </w:rPr>
      </w:pPr>
      <w:r>
        <w:rPr>
          <w:w w:val="41"/>
          <w:sz w:val="6"/>
        </w:rPr>
        <w:t xml:space="preserve"> </w:t>
      </w:r>
    </w:p>
    <w:p>
      <w:pPr>
        <w:pStyle w:val="3"/>
        <w:spacing w:before="8"/>
        <w:ind w:left="0"/>
        <w:rPr>
          <w:sz w:val="5"/>
        </w:rPr>
      </w:pPr>
    </w:p>
    <w:p>
      <w:pPr>
        <w:pStyle w:val="3"/>
        <w:spacing w:before="1"/>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主要成分：叠氮钠(迭氮钠)</w:t>
      </w:r>
      <w:r>
        <w:tab/>
      </w:r>
      <w:r>
        <w:rPr>
          <w:w w:val="95"/>
        </w:rPr>
        <w:t>26628-22-8</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spacing w:before="40"/>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spacing w:after="0"/>
        <w:sectPr>
          <w:footerReference r:id="rId5" w:type="default"/>
          <w:pgSz w:w="11900" w:h="16840"/>
          <w:pgMar w:top="760" w:right="600" w:bottom="700" w:left="620" w:header="0" w:footer="509" w:gutter="0"/>
          <w:cols w:space="720" w:num="1"/>
        </w:sectPr>
      </w:pPr>
    </w:p>
    <w:p>
      <w:pPr>
        <w:pStyle w:val="3"/>
        <w:spacing w:before="5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spacing w:before="40"/>
      </w:pPr>
      <w:r>
        <w:rPr>
          <w:w w:val="97"/>
        </w:rPr>
        <w:t xml:space="preserve"> </w:t>
      </w:r>
      <w:r>
        <w:t>4.2 主要症状和影响，急性和迟发效应：据我们所知，此化学，物理和毒性性质尚未经完整的研究。</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环境保护措施：如能确保安全，可采取措施防止进一步的泄漏或溢出。不要让产品进入下水道。一定要避免排放到周围环境中。</w:t>
      </w:r>
    </w:p>
    <w:p>
      <w:pPr>
        <w:pStyle w:val="3"/>
        <w:spacing w:before="0" w:line="270" w:lineRule="atLeast"/>
        <w:ind w:right="214"/>
      </w:pPr>
      <w:r>
        <w:rPr>
          <w:w w:val="98"/>
        </w:rPr>
        <w:t xml:space="preserve"> </w:t>
      </w:r>
      <w:r>
        <w:rPr>
          <w:w w:val="95"/>
        </w:rPr>
        <w:t>6.3</w:t>
      </w:r>
      <w:r>
        <w:rPr>
          <w:spacing w:val="-1"/>
          <w:w w:val="95"/>
        </w:rPr>
        <w:t xml:space="preserve">   泄露化学品的收容、清除方法及所使用的处置材料：收集和处置时不要产生粉尘。扫掉和铲掉。不要用水冲洗。放入合适的封闭</w:t>
      </w:r>
      <w:r>
        <w:t>的容器中待处理。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7.操作处置与储存</w:t>
      </w:r>
    </w:p>
    <w:p>
      <w:pPr>
        <w:pStyle w:val="3"/>
        <w:spacing w:before="40" w:line="280" w:lineRule="auto"/>
        <w:ind w:right="114"/>
      </w:pPr>
      <w:r>
        <w:rPr>
          <w:w w:val="97"/>
        </w:rPr>
        <w:t xml:space="preserve"> </w:t>
      </w:r>
      <w:r>
        <w:rPr>
          <w:w w:val="95"/>
        </w:rPr>
        <w:t>7.1   安全处置注意事项：避免接触皮肤和眼睛。防止粉尘和气溶胶生成。在有粉尘生成的地方,提供合适的排风设备。一般性的防火保</w:t>
      </w:r>
      <w:r>
        <w:t>护措施。</w:t>
      </w:r>
    </w:p>
    <w:p>
      <w:pPr>
        <w:pStyle w:val="3"/>
        <w:spacing w:before="0"/>
      </w:pPr>
      <w:r>
        <w:rPr>
          <w:w w:val="98"/>
        </w:rPr>
        <w:t xml:space="preserve"> </w:t>
      </w:r>
      <w:r>
        <w:t>7.2 安全储存注意事项：贮存在阴凉处。使容器保持密闭，储存在干燥通风处。贮存期间严禁与水接触。不要贮存在酸附近</w:t>
      </w:r>
    </w:p>
    <w:p>
      <w:pPr>
        <w:pStyle w:val="3"/>
        <w:spacing w:line="220" w:lineRule="exact"/>
      </w:pPr>
      <w:r>
        <w:rPr>
          <w:w w:val="90"/>
        </w:rPr>
        <w:t xml:space="preserve"> </w:t>
      </w:r>
      <w:r>
        <w:t>7.3 不兼容性：卤代烃,金属,酸,酰基氯</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2"/>
        </w:rPr>
        <w:t xml:space="preserve"> </w:t>
      </w:r>
      <w:r>
        <w:rPr>
          <w:w w:val="105"/>
        </w:rPr>
        <w:t>MAC(mg/m3)：0.3</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spacing w:before="40"/>
      </w:pPr>
      <w:r>
        <w:rPr>
          <w:w w:val="98"/>
        </w:rPr>
        <w:t xml:space="preserve"> </w:t>
      </w:r>
      <w:r>
        <w:t>TLV-C(mg/m3)：0.29</w:t>
      </w:r>
    </w:p>
    <w:p>
      <w:pPr>
        <w:pStyle w:val="3"/>
      </w:pPr>
      <w:r>
        <w:rPr>
          <w:w w:val="103"/>
        </w:rPr>
        <w:t xml:space="preserve"> </w:t>
      </w:r>
      <w:r>
        <w:rPr>
          <w:w w:val="105"/>
        </w:rPr>
        <w:t>TLV=STEL(mg/m3)：无资料</w:t>
      </w:r>
    </w:p>
    <w:p>
      <w:pPr>
        <w:pStyle w:val="3"/>
      </w:pPr>
      <w:r>
        <w:rPr>
          <w:w w:val="94"/>
        </w:rPr>
        <w:t xml:space="preserve"> </w:t>
      </w:r>
      <w:r>
        <w:t>8.2 检测方法：三氯化铁分光光度法。</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90"/>
        </w:rPr>
        <w:t xml:space="preserve">     </w:t>
      </w:r>
      <w:r>
        <w:t>手防护：戴防毒物渗透手套。</w:t>
      </w:r>
    </w:p>
    <w:p>
      <w:pPr>
        <w:pStyle w:val="3"/>
      </w:pPr>
      <w:r>
        <w:rPr>
          <w:w w:val="95"/>
        </w:rPr>
        <w:t xml:space="preserve">     </w:t>
      </w:r>
      <w:r>
        <w:t>眼睛防护：面罩與安全眼鏡请使用经官方标准检测与批准的设备防护眼部。</w:t>
      </w:r>
    </w:p>
    <w:p>
      <w:pPr>
        <w:pStyle w:val="3"/>
        <w:spacing w:before="40"/>
      </w:pPr>
      <w:r>
        <w:rPr>
          <w:w w:val="92"/>
        </w:rPr>
        <w:t xml:space="preserve">     </w:t>
      </w:r>
      <w:r>
        <w:t>皮肤和身体防护：穿防毒物渗透工作服。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外观与性状：白色六方晶系结晶，对空气和湿敏感。</w:t>
      </w:r>
      <w:r>
        <w:tab/>
      </w:r>
      <w:r>
        <w:t>气味：无资料</w:t>
      </w:r>
    </w:p>
    <w:p>
      <w:pPr>
        <w:pStyle w:val="3"/>
        <w:tabs>
          <w:tab w:val="left" w:pos="6415"/>
        </w:tabs>
        <w:spacing w:before="8"/>
        <w:ind w:left="140"/>
      </w:pPr>
      <w:r>
        <w:t>气味阈值：无资料</w:t>
      </w:r>
      <w:r>
        <w:tab/>
      </w:r>
      <w:r>
        <w:t>pH：10(1M,H2O,25℃)</w:t>
      </w:r>
    </w:p>
    <w:p>
      <w:pPr>
        <w:pStyle w:val="3"/>
        <w:tabs>
          <w:tab w:val="left" w:pos="6415"/>
        </w:tabs>
        <w:spacing w:before="47" w:line="187" w:lineRule="auto"/>
        <w:ind w:left="6416" w:right="292" w:hanging="6276"/>
      </w:pPr>
      <w:r>
        <w:rPr>
          <w:w w:val="90"/>
        </w:rPr>
        <w:t>熔点/凝固点(℃)：275℃(dec.)</w:t>
      </w:r>
      <w:r>
        <w:rPr>
          <w:w w:val="90"/>
        </w:rPr>
        <w:tab/>
      </w:r>
      <w:r>
        <w:t>沸点、初沸点、沸程(℃)：300℃/760mmHg(剧烈</w:t>
      </w:r>
      <w:r>
        <w:rPr>
          <w:spacing w:val="-17"/>
        </w:rPr>
        <w:t>分</w:t>
      </w:r>
      <w:r>
        <w:t>解)</w:t>
      </w:r>
    </w:p>
    <w:p>
      <w:pPr>
        <w:pStyle w:val="3"/>
        <w:tabs>
          <w:tab w:val="left" w:pos="6415"/>
        </w:tabs>
        <w:spacing w:before="19"/>
        <w:ind w:left="140"/>
      </w:pPr>
      <w:r>
        <w:rPr>
          <w:w w:val="95"/>
        </w:rPr>
        <w:t>密度/相对密度(水=1)：ρ(20)1.846g/mL</w:t>
      </w:r>
      <w:r>
        <w:rPr>
          <w:w w:val="95"/>
        </w:rPr>
        <w:tab/>
      </w:r>
      <w:r>
        <w:t>蒸汽密度(空气=1)：2.2</w:t>
      </w:r>
    </w:p>
    <w:p>
      <w:pPr>
        <w:pStyle w:val="3"/>
        <w:tabs>
          <w:tab w:val="left" w:pos="6415"/>
        </w:tabs>
        <w:spacing w:before="8"/>
        <w:ind w:left="140"/>
      </w:pPr>
      <w:r>
        <w:rPr>
          <w:w w:val="95"/>
        </w:rPr>
        <w:t>蒸汽压(kPa)：0.01hPa(20℃)</w:t>
      </w:r>
      <w:r>
        <w:rPr>
          <w:w w:val="95"/>
        </w:rP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溶解性：溶于水、液氨，不溶于乙醚，微溶于乙醇。</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7"/>
        </w:rPr>
        <w:t xml:space="preserve"> </w:t>
      </w:r>
      <w:r>
        <w:t>10.3 应避免的条件：当叠氮化钠，氯甲烷，二甲亚砜和硫酸的混合物在旋转蒸发仪上浓缩时曾发生过爆炸。</w:t>
      </w:r>
    </w:p>
    <w:p>
      <w:pPr>
        <w:pStyle w:val="3"/>
        <w:spacing w:before="40"/>
      </w:pPr>
      <w:r>
        <w:rPr>
          <w:w w:val="96"/>
        </w:rPr>
        <w:t xml:space="preserve"> </w:t>
      </w:r>
      <w:r>
        <w:t>10.4 不相容物质：酸类、酰基氯、活性金属粉末、强氧化剂。</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footerReference r:id="rId6" w:type="default"/>
          <w:pgSz w:w="11900" w:h="16840"/>
          <w:pgMar w:top="760" w:right="600" w:bottom="700" w:left="620" w:header="0" w:footer="509" w:gutter="0"/>
          <w:pgNumType w:start="351"/>
          <w:cols w:space="720" w:num="1"/>
        </w:sectPr>
      </w:pPr>
    </w:p>
    <w:p>
      <w:pPr>
        <w:pStyle w:val="3"/>
        <w:spacing w:before="50"/>
      </w:pPr>
      <w:r>
        <w:t>11.毒理学信息</w:t>
      </w:r>
    </w:p>
    <w:p>
      <w:pPr>
        <w:pStyle w:val="3"/>
        <w:spacing w:line="280" w:lineRule="auto"/>
        <w:ind w:right="280"/>
      </w:pPr>
      <w:r>
        <w:rPr>
          <w:w w:val="96"/>
        </w:rPr>
        <w:t xml:space="preserve"> </w:t>
      </w:r>
      <w:r>
        <w:rPr>
          <w:w w:val="95"/>
        </w:rPr>
        <w:t xml:space="preserve">11.1 急性毒性：半数致死剂量(LD50)经口-兔子-10mg/kg半数致死浓度(LC50)吸入-大鼠-37mg/m3半数致死剂量(LD50)经皮-兔子- </w:t>
      </w:r>
      <w:r>
        <w:t>20mg/kg</w:t>
      </w:r>
    </w:p>
    <w:p>
      <w:pPr>
        <w:pStyle w:val="3"/>
        <w:spacing w:before="0"/>
      </w:pPr>
      <w:r>
        <w:rPr>
          <w:w w:val="93"/>
        </w:rPr>
        <w:t xml:space="preserve"> </w:t>
      </w:r>
      <w:r>
        <w:rPr>
          <w:w w:val="95"/>
        </w:rPr>
        <w:t>11.2</w:t>
      </w:r>
      <w:r>
        <w:rPr>
          <w:spacing w:val="-7"/>
          <w:w w:val="95"/>
        </w:rPr>
        <w:t xml:space="preserve"> 皮肤刺激或腐蚀：无资料</w:t>
      </w:r>
    </w:p>
    <w:p>
      <w:pPr>
        <w:pStyle w:val="3"/>
        <w:spacing w:before="40"/>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9"/>
        </w:rPr>
        <w:t xml:space="preserve"> </w:t>
      </w:r>
      <w:r>
        <w:t>11.6 致癌性：IARC:此产品中没有大于或等于0。1%含量的组分被IARC鉴别为可能的或肯定的人类致癌物。</w:t>
      </w:r>
    </w:p>
    <w:p>
      <w:pPr>
        <w:pStyle w:val="3"/>
      </w:pPr>
      <w:r>
        <w:rPr>
          <w:w w:val="91"/>
        </w:rPr>
        <w:t xml:space="preserve"> </w:t>
      </w:r>
      <w:r>
        <w:t>11.7 生殖毒性：无资料</w:t>
      </w:r>
    </w:p>
    <w:p>
      <w:pPr>
        <w:pStyle w:val="3"/>
        <w:spacing w:before="40"/>
      </w:pPr>
      <w:r>
        <w:rPr>
          <w:w w:val="95"/>
        </w:rPr>
        <w:t xml:space="preserve"> 11.8 特异性靶器官系统毒性（一次接触）：无资料</w:t>
      </w:r>
    </w:p>
    <w:p>
      <w:pPr>
        <w:pStyle w:val="3"/>
      </w:pPr>
      <w:r>
        <w:rPr>
          <w:w w:val="95"/>
        </w:rPr>
        <w:t xml:space="preserve"> 11.9 特异性靶器官系统毒性（反复接触）：无资料</w:t>
      </w:r>
    </w:p>
    <w:p>
      <w:pPr>
        <w:pStyle w:val="3"/>
      </w:pPr>
      <w:r>
        <w:rPr>
          <w:w w:val="91"/>
        </w:rPr>
        <w:t xml:space="preserve"> </w:t>
      </w:r>
      <w:r>
        <w:rPr>
          <w:w w:val="90"/>
        </w:rPr>
        <w:t>11.10 吸入危险：无资料</w:t>
      </w:r>
    </w:p>
    <w:p>
      <w:pPr>
        <w:pStyle w:val="3"/>
        <w:spacing w:before="40"/>
      </w:pPr>
      <w:r>
        <w:rPr>
          <w:w w:val="91"/>
        </w:rPr>
        <w:t xml:space="preserve"> </w:t>
      </w:r>
      <w:r>
        <w:rPr>
          <w:w w:val="90"/>
        </w:rPr>
        <w:t>11.11 潜在的健康危险：</w:t>
      </w:r>
    </w:p>
    <w:p>
      <w:pPr>
        <w:pStyle w:val="3"/>
      </w:pPr>
      <w:r>
        <w:rPr>
          <w:w w:val="95"/>
        </w:rPr>
        <w:t xml:space="preserve"> </w:t>
      </w:r>
      <w:r>
        <w:t>吸入：无资料</w:t>
      </w:r>
    </w:p>
    <w:p>
      <w:pPr>
        <w:pStyle w:val="3"/>
        <w:spacing w:before="40"/>
      </w:pPr>
      <w:r>
        <w:rPr>
          <w:w w:val="97"/>
        </w:rPr>
        <w:t xml:space="preserve"> </w:t>
      </w:r>
      <w:r>
        <w:t>摄入：吞咽可能致死。</w:t>
      </w:r>
    </w:p>
    <w:p>
      <w:pPr>
        <w:pStyle w:val="3"/>
      </w:pPr>
      <w:r>
        <w:rPr>
          <w:w w:val="98"/>
        </w:rPr>
        <w:t xml:space="preserve"> </w:t>
      </w:r>
      <w:r>
        <w:t>皮肤：通过皮肤吸收可能致死。可能引起皮肤刺激。</w:t>
      </w:r>
    </w:p>
    <w:p>
      <w:pPr>
        <w:pStyle w:val="3"/>
        <w:spacing w:line="220" w:lineRule="exact"/>
      </w:pPr>
      <w:r>
        <w:rPr>
          <w:w w:val="97"/>
        </w:rPr>
        <w:t xml:space="preserve"> </w:t>
      </w:r>
      <w:r>
        <w:t>眼睛：可能引起眼睛刺激。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pPr>
      <w:r>
        <w:rPr>
          <w:w w:val="95"/>
        </w:rPr>
        <w:t xml:space="preserve"> </w:t>
      </w:r>
      <w:r>
        <w:t>12.1 生态毒性：对水蚤和其他水生无脊椎动物的毒性：半数效应浓度(EC50)-蚤状溞(水蚤)-4.2mg/l-48h</w:t>
      </w:r>
    </w:p>
    <w:p>
      <w:pPr>
        <w:pStyle w:val="3"/>
      </w:pPr>
      <w:r>
        <w:rPr>
          <w:w w:val="93"/>
        </w:rPr>
        <w:t xml:space="preserve"> </w:t>
      </w:r>
      <w:r>
        <w:t>12.2 持久性和降解性：无资料</w:t>
      </w:r>
    </w:p>
    <w:p>
      <w:pPr>
        <w:pStyle w:val="3"/>
      </w:pPr>
      <w:r>
        <w:rPr>
          <w:w w:val="93"/>
        </w:rPr>
        <w:t xml:space="preserve"> </w:t>
      </w:r>
      <w:r>
        <w:t>12.3 潜在的生物累积性：无资料</w:t>
      </w:r>
    </w:p>
    <w:p>
      <w:pPr>
        <w:pStyle w:val="3"/>
        <w:spacing w:before="40"/>
      </w:pPr>
      <w:r>
        <w:rPr>
          <w:w w:val="93"/>
        </w:rPr>
        <w:t xml:space="preserve"> </w:t>
      </w:r>
      <w:r>
        <w:t>12.4 土壤中的迁移性：无资料</w:t>
      </w:r>
    </w:p>
    <w:p>
      <w:pPr>
        <w:pStyle w:val="3"/>
        <w:spacing w:line="220" w:lineRule="exact"/>
      </w:pPr>
      <w:r>
        <w:rPr>
          <w:w w:val="95"/>
        </w:rPr>
        <w:t xml:space="preserve"> </w:t>
      </w:r>
      <w:r>
        <w:t>12.5 其它不良影响：对水生生物毒性极大并具有长期持续影响.</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line="280" w:lineRule="auto"/>
        <w:ind w:right="131"/>
      </w:pPr>
      <w:r>
        <w:rPr>
          <w:w w:val="98"/>
        </w:rPr>
        <w:t xml:space="preserve"> </w:t>
      </w:r>
      <w:r>
        <w:rPr>
          <w:w w:val="95"/>
        </w:rPr>
        <w:t>13.1   残余废弃物处置方法：将剩余的和不可回收的溶液交给有许可证的公司处理。与易燃溶剂相溶或者相混合，在备有燃烧后处理和</w:t>
      </w:r>
      <w:r>
        <w:t>洗刷作用的化学焚化炉中燃烧</w:t>
      </w:r>
    </w:p>
    <w:p>
      <w:pPr>
        <w:pStyle w:val="3"/>
        <w:spacing w:before="0"/>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spacing w:before="40"/>
      </w:pPr>
      <w:r>
        <w:rPr>
          <w:w w:val="96"/>
        </w:rPr>
        <w:t xml:space="preserve">  </w:t>
      </w:r>
      <w:r>
        <w:t>危规号CN：61033</w:t>
      </w:r>
    </w:p>
    <w:p>
      <w:pPr>
        <w:pStyle w:val="3"/>
      </w:pPr>
      <w:r>
        <w:rPr>
          <w:w w:val="94"/>
        </w:rPr>
        <w:t xml:space="preserve">  </w:t>
      </w:r>
      <w:r>
        <w:t>联合国危险货物编号：1687</w:t>
      </w:r>
    </w:p>
    <w:p>
      <w:pPr>
        <w:pStyle w:val="3"/>
        <w:spacing w:before="40"/>
      </w:pPr>
      <w:r>
        <w:rPr>
          <w:w w:val="91"/>
        </w:rPr>
        <w:t xml:space="preserve">  </w:t>
      </w:r>
      <w:r>
        <w:t>联合国运输名称：Sodium azide</w:t>
      </w:r>
    </w:p>
    <w:p>
      <w:pPr>
        <w:pStyle w:val="3"/>
      </w:pPr>
      <w:r>
        <w:rPr>
          <w:w w:val="91"/>
        </w:rPr>
        <w:t xml:space="preserve">  </w:t>
      </w:r>
      <w:r>
        <w:t>联合国危险性分类：6.1</w:t>
      </w:r>
    </w:p>
    <w:p>
      <w:pPr>
        <w:pStyle w:val="3"/>
      </w:pPr>
      <w:r>
        <w:rPr>
          <w:w w:val="90"/>
        </w:rPr>
        <w:t xml:space="preserve">  </w:t>
      </w:r>
      <w:r>
        <w:t>包装组：Ⅱ</w:t>
      </w:r>
    </w:p>
    <w:p>
      <w:pPr>
        <w:pStyle w:val="3"/>
        <w:spacing w:before="40"/>
      </w:pPr>
      <w:r>
        <w:rPr>
          <w:w w:val="93"/>
        </w:rPr>
        <w:t xml:space="preserve">  </w:t>
      </w:r>
      <w:r>
        <w:t>包装方法：无资料</w:t>
      </w:r>
    </w:p>
    <w:p>
      <w:pPr>
        <w:pStyle w:val="3"/>
      </w:pPr>
      <w:r>
        <w:rPr>
          <w:w w:val="93"/>
        </w:rPr>
        <w:t xml:space="preserve">  </w:t>
      </w:r>
      <w:r>
        <w:t>海洋污染物（是/否）：是</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spacing w:before="40"/>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spacing w:before="40"/>
      </w:pPr>
      <w:r>
        <w:rPr>
          <w:w w:val="89"/>
        </w:rPr>
        <w:t xml:space="preserve">        </w:t>
      </w:r>
      <w:r>
        <w:t>《易制毒化学品名录》（2002版）：未列入</w:t>
      </w:r>
    </w:p>
    <w:p>
      <w:pPr>
        <w:pStyle w:val="3"/>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before="40"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350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350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351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2FTF7r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3612032B"/>
    <w:rsid w:val="16047413"/>
    <w:rsid w:val="3612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2023-11-02T09:33:00Z</dcterms:created>
  <dc:creator>刘文丹。</dc:creator>
  <cp:lastModifiedBy>刘文丹。</cp:lastModifiedBy>
  <dcterms:modified xsi:type="dcterms:W3CDTF">2023-11-02T09:33:34Z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FFB2BB83C981413D8109D86AC5E0E865_11</vt:lpwstr>
  </property>
</Properties>
</file>