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bidi w:val="0"/>
        <w:ind w:leftChars="0" w:right="0" w:rightChars="0"/>
        <w:jc w:val="center"/>
        <w:rPr>
          <w:rFonts w:hint="eastAsia"/>
          <w:lang w:eastAsia="zh-CN"/>
        </w:rPr>
      </w:pPr>
      <w:bookmarkStart w:id="0" w:name="_GoBack"/>
      <w:bookmarkEnd w:id="0"/>
      <w:r>
        <w:t>碘</w:t>
      </w:r>
      <w:r>
        <w:rPr>
          <w:rFonts w:hint="eastAsia"/>
          <w:lang w:eastAsia="zh-CN"/>
        </w:rPr>
        <w:t>安全说明书</w:t>
      </w:r>
    </w:p>
    <w:p>
      <w:pPr>
        <w:pStyle w:val="3"/>
        <w:spacing w:before="0" w:line="280" w:lineRule="auto"/>
        <w:ind w:right="9013"/>
      </w:pPr>
      <w:r>
        <w:rPr>
          <w:w w:val="95"/>
        </w:rPr>
        <w:t>1.化学品及企业标识</w:t>
      </w:r>
      <w:r>
        <w:t>中文名：碘</w:t>
      </w:r>
    </w:p>
    <w:p>
      <w:pPr>
        <w:pStyle w:val="3"/>
        <w:spacing w:before="0" w:line="280" w:lineRule="auto"/>
        <w:ind w:right="9398"/>
      </w:pPr>
      <w:r>
        <w:rPr>
          <w:w w:val="90"/>
        </w:rPr>
        <w:t xml:space="preserve">英文名：Iodine </w:t>
      </w:r>
      <w:r>
        <w:t>中文别名：碘</w:t>
      </w:r>
    </w:p>
    <w:p>
      <w:pPr>
        <w:pStyle w:val="3"/>
        <w:spacing w:before="1"/>
      </w:pPr>
      <w:r>
        <w:t>英文别名：Iodine</w:t>
      </w:r>
    </w:p>
    <w:p>
      <w:pPr>
        <w:pStyle w:val="3"/>
      </w:pPr>
      <w:r>
        <w:t>推荐用途：实验室用化验、试验及科学实验。</w:t>
      </w:r>
    </w:p>
    <w:p>
      <w:pPr>
        <w:pStyle w:val="3"/>
        <w:spacing w:before="40"/>
      </w:pPr>
      <w:r>
        <w:t>限制用途：不可作为药品、食品、家庭或其它用途</w:t>
      </w:r>
    </w:p>
    <w:p>
      <w:pPr>
        <w:pStyle w:val="3"/>
        <w:spacing w:line="280" w:lineRule="auto"/>
        <w:ind w:right="4987"/>
      </w:pPr>
      <w:r>
        <w:rPr>
          <w:spacing w:val="-2"/>
          <w:w w:val="95"/>
        </w:rPr>
        <w:t xml:space="preserve">生产商：国药集团化学试剂有限公司 </w:t>
      </w:r>
      <w:r>
        <w:rPr>
          <w:w w:val="95"/>
        </w:rPr>
        <w:t>Sinopharm</w:t>
      </w:r>
      <w:r>
        <w:rPr>
          <w:spacing w:val="-32"/>
          <w:w w:val="95"/>
        </w:rPr>
        <w:t xml:space="preserve"> </w:t>
      </w:r>
      <w:r>
        <w:rPr>
          <w:w w:val="95"/>
        </w:rPr>
        <w:t>Chemical</w:t>
      </w:r>
      <w:r>
        <w:rPr>
          <w:spacing w:val="-32"/>
          <w:w w:val="95"/>
        </w:rPr>
        <w:t xml:space="preserve"> </w:t>
      </w:r>
      <w:r>
        <w:rPr>
          <w:w w:val="95"/>
        </w:rPr>
        <w:t>Reagent</w:t>
      </w:r>
      <w:r>
        <w:rPr>
          <w:spacing w:val="-32"/>
          <w:w w:val="95"/>
        </w:rPr>
        <w:t xml:space="preserve"> </w:t>
      </w:r>
      <w:r>
        <w:rPr>
          <w:spacing w:val="-3"/>
          <w:w w:val="95"/>
        </w:rPr>
        <w:t xml:space="preserve">Co.,Ltd </w:t>
      </w:r>
      <w:r>
        <w:t>地址：上海市宁波路52号</w:t>
      </w:r>
    </w:p>
    <w:p>
      <w:pPr>
        <w:pStyle w:val="3"/>
        <w:spacing w:before="0"/>
      </w:pPr>
      <w:r>
        <w:t>邮编：200002</w:t>
      </w:r>
    </w:p>
    <w:p>
      <w:pPr>
        <w:pStyle w:val="3"/>
        <w:spacing w:before="40"/>
      </w:pPr>
      <w:r>
        <w:t>传真：86-021-63214037</w:t>
      </w:r>
    </w:p>
    <w:p>
      <w:pPr>
        <w:pStyle w:val="3"/>
      </w:pPr>
      <w:r>
        <w:t>应急电话：86-021-62679090</w:t>
      </w:r>
    </w:p>
    <w:p>
      <w:pPr>
        <w:pStyle w:val="3"/>
        <w:spacing w:line="280" w:lineRule="auto"/>
        <w:ind w:right="7683"/>
      </w:pPr>
      <w:r>
        <w:fldChar w:fldCharType="begin"/>
      </w:r>
      <w:r>
        <w:instrText xml:space="preserve"> HYPERLINK "mailto:sj_jsb@sinopharm.com" \h </w:instrText>
      </w:r>
      <w:r>
        <w:fldChar w:fldCharType="separate"/>
      </w:r>
      <w:r>
        <w:rPr>
          <w:w w:val="90"/>
        </w:rPr>
        <w:t xml:space="preserve">电子邮件地址：sj_jsb@sinopharm.com </w:t>
      </w:r>
      <w:r>
        <w:rPr>
          <w:w w:val="90"/>
        </w:rPr>
        <w:fldChar w:fldCharType="end"/>
      </w:r>
      <w:r>
        <w:fldChar w:fldCharType="begin"/>
      </w:r>
      <w:r>
        <w:instrText xml:space="preserve"> HYPERLINK "http://www.reagent.com.cn/" \h </w:instrText>
      </w:r>
      <w:r>
        <w:fldChar w:fldCharType="separate"/>
      </w:r>
      <w:r>
        <w:rPr>
          <w:w w:val="90"/>
        </w:rPr>
        <w:t>公司网址：http://www.reagent.com.cn</w:t>
      </w:r>
      <w:r>
        <w:rPr>
          <w:w w:val="90"/>
        </w:rPr>
        <w:fldChar w:fldCharType="end"/>
      </w:r>
    </w:p>
    <w:p>
      <w:pPr>
        <w:pStyle w:val="3"/>
        <w:spacing w:before="1" w:line="220" w:lineRule="exact"/>
      </w:pPr>
      <w:r>
        <w:t>安全技术说明书编码：SCRC CSDS7553-56-2 碘</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2.危险性概述</w:t>
      </w:r>
    </w:p>
    <w:p>
      <w:pPr>
        <w:pStyle w:val="3"/>
        <w:spacing w:line="280" w:lineRule="auto"/>
        <w:ind w:right="183"/>
      </w:pPr>
      <w:r>
        <w:rPr>
          <w:w w:val="97"/>
        </w:rPr>
        <w:t xml:space="preserve"> </w:t>
      </w:r>
      <w:r>
        <w:rPr>
          <w:w w:val="95"/>
        </w:rPr>
        <w:t>2.1  紧急情况概述：紫黑色晶体,带有金属光泽,性脆,易升华。皮肤接触或吸入有害。造成皮肤刺激。造成严重眼刺激。可能造成呼吸道</w:t>
      </w:r>
      <w:r>
        <w:rPr>
          <w:spacing w:val="-4"/>
          <w:w w:val="95"/>
        </w:rPr>
        <w:t xml:space="preserve">刺激。长期吞咽或反复接触会对(甲状腺)器官造成损害。对水生生物毒性极大。过量接触需采取特殊急救措施和进行医疗随访。本     </w:t>
      </w:r>
      <w:r>
        <w:t>品不燃。根据着火原因选择适当灭火剂灭火。如必要的话,戴自给式呼吸器去救火。</w:t>
      </w:r>
    </w:p>
    <w:p>
      <w:pPr>
        <w:pStyle w:val="3"/>
        <w:spacing w:before="1" w:line="280" w:lineRule="auto"/>
        <w:ind w:right="176"/>
      </w:pPr>
      <w:r>
        <w:rPr>
          <w:w w:val="97"/>
        </w:rPr>
        <w:t xml:space="preserve"> </w:t>
      </w:r>
      <w:r>
        <w:t>2.2</w:t>
      </w:r>
      <w:r>
        <w:rPr>
          <w:spacing w:val="-58"/>
        </w:rPr>
        <w:t xml:space="preserve"> </w:t>
      </w:r>
      <w:r>
        <w:t>GHS危险性分类：急性毒性,吸入（类别4）急性毒性,经皮（类别4）皮肤腐蚀/刺激（类别2）严重眼睛损伤/眼睛刺激性（类别</w:t>
      </w:r>
      <w:r>
        <w:rPr>
          <w:w w:val="95"/>
        </w:rPr>
        <w:t>2A）特异性靶器官系统毒性（一次接触）（类别3）,呼吸系统特异性靶器官系统毒性（反复接触）,经口（类别1）,</w:t>
      </w:r>
      <w:r>
        <w:rPr>
          <w:spacing w:val="-3"/>
          <w:w w:val="95"/>
        </w:rPr>
        <w:t xml:space="preserve">甲状腺急性水生毒    </w:t>
      </w:r>
      <w:r>
        <w:t>性（类别1）</w:t>
      </w:r>
    </w:p>
    <w:p>
      <w:pPr>
        <w:pStyle w:val="3"/>
        <w:spacing w:before="0"/>
      </w:pPr>
      <w:r>
        <w:rPr>
          <w:w w:val="97"/>
        </w:rPr>
        <w:t xml:space="preserve"> </w:t>
      </w:r>
      <w:r>
        <w:t>2.3 GHS标记要素，包括预防性的陈述：</w:t>
      </w:r>
    </w:p>
    <w:p>
      <w:pPr>
        <w:pStyle w:val="3"/>
        <w:spacing w:before="40"/>
      </w:pPr>
      <w:r>
        <w:drawing>
          <wp:anchor distT="0" distB="0" distL="0" distR="0" simplePos="0" relativeHeight="251659264" behindDoc="0" locked="0" layoutInCell="1" allowOverlap="1">
            <wp:simplePos x="0" y="0"/>
            <wp:positionH relativeFrom="page">
              <wp:posOffset>457200</wp:posOffset>
            </wp:positionH>
            <wp:positionV relativeFrom="paragraph">
              <wp:posOffset>190500</wp:posOffset>
            </wp:positionV>
            <wp:extent cx="762000" cy="762000"/>
            <wp:effectExtent l="0" t="0" r="0" b="0"/>
            <wp:wrapTopAndBottom/>
            <wp:docPr id="3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4.jpeg"/>
                    <pic:cNvPicPr>
                      <a:picLocks noChangeAspect="1"/>
                    </pic:cNvPicPr>
                  </pic:nvPicPr>
                  <pic:blipFill>
                    <a:blip r:embed="rId6" cstate="print"/>
                    <a:stretch>
                      <a:fillRect/>
                    </a:stretch>
                  </pic:blipFill>
                  <pic:spPr>
                    <a:xfrm>
                      <a:off x="0" y="0"/>
                      <a:ext cx="762000" cy="76200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1785620</wp:posOffset>
            </wp:positionH>
            <wp:positionV relativeFrom="paragraph">
              <wp:posOffset>190500</wp:posOffset>
            </wp:positionV>
            <wp:extent cx="762000" cy="762000"/>
            <wp:effectExtent l="0" t="0" r="0" b="0"/>
            <wp:wrapTopAndBottom/>
            <wp:docPr id="3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5.jpeg"/>
                    <pic:cNvPicPr>
                      <a:picLocks noChangeAspect="1"/>
                    </pic:cNvPicPr>
                  </pic:nvPicPr>
                  <pic:blipFill>
                    <a:blip r:embed="rId7" cstate="print"/>
                    <a:stretch>
                      <a:fillRect/>
                    </a:stretch>
                  </pic:blipFill>
                  <pic:spPr>
                    <a:xfrm>
                      <a:off x="0" y="0"/>
                      <a:ext cx="762000" cy="76200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3113405</wp:posOffset>
            </wp:positionH>
            <wp:positionV relativeFrom="paragraph">
              <wp:posOffset>190500</wp:posOffset>
            </wp:positionV>
            <wp:extent cx="762000" cy="762000"/>
            <wp:effectExtent l="0" t="0" r="0" b="0"/>
            <wp:wrapTopAndBottom/>
            <wp:docPr id="3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3.jpeg"/>
                    <pic:cNvPicPr>
                      <a:picLocks noChangeAspect="1"/>
                    </pic:cNvPicPr>
                  </pic:nvPicPr>
                  <pic:blipFill>
                    <a:blip r:embed="rId8" cstate="print"/>
                    <a:stretch>
                      <a:fillRect/>
                    </a:stretch>
                  </pic:blipFill>
                  <pic:spPr>
                    <a:xfrm>
                      <a:off x="0" y="0"/>
                      <a:ext cx="762000" cy="762000"/>
                    </a:xfrm>
                    <a:prstGeom prst="rect">
                      <a:avLst/>
                    </a:prstGeom>
                  </pic:spPr>
                </pic:pic>
              </a:graphicData>
            </a:graphic>
          </wp:anchor>
        </w:drawing>
      </w:r>
      <w:r>
        <w:rPr>
          <w:w w:val="93"/>
        </w:rPr>
        <w:t xml:space="preserve"> </w:t>
      </w:r>
      <w:r>
        <w:t>象形图：</w:t>
      </w:r>
    </w:p>
    <w:p>
      <w:pPr>
        <w:pStyle w:val="3"/>
        <w:spacing w:before="61"/>
      </w:pPr>
      <w:r>
        <w:rPr>
          <w:w w:val="95"/>
        </w:rPr>
        <w:t xml:space="preserve"> </w:t>
      </w:r>
      <w:r>
        <w:t>警示词：危险</w:t>
      </w:r>
    </w:p>
    <w:p>
      <w:pPr>
        <w:pStyle w:val="3"/>
        <w:spacing w:line="280" w:lineRule="auto"/>
        <w:ind w:right="146"/>
      </w:pPr>
      <w:r>
        <w:rPr>
          <w:w w:val="99"/>
        </w:rPr>
        <w:t xml:space="preserve"> </w:t>
      </w:r>
      <w:r>
        <w:rPr>
          <w:spacing w:val="-1"/>
          <w:w w:val="95"/>
        </w:rPr>
        <w:t xml:space="preserve">危险信息：皮肤接触或吸入有害。造成皮肤刺激。造成严重眼刺激。可能造成呼吸道刺激。长期吞咽或反复接触会对(甲状腺)器官造    </w:t>
      </w:r>
      <w:r>
        <w:t>成损害。对水生生物毒性极大。</w:t>
      </w:r>
    </w:p>
    <w:p>
      <w:pPr>
        <w:pStyle w:val="3"/>
        <w:spacing w:before="0" w:line="280" w:lineRule="auto"/>
        <w:ind w:right="160"/>
      </w:pPr>
      <w:r>
        <w:rPr>
          <w:w w:val="98"/>
        </w:rPr>
        <w:t xml:space="preserve"> </w:t>
      </w:r>
      <w:r>
        <w:rPr>
          <w:w w:val="95"/>
        </w:rPr>
        <w:t>预防措施：不要吸入粉尘/烟/气体/烟雾/蒸气/</w:t>
      </w:r>
      <w:r>
        <w:rPr>
          <w:spacing w:val="-1"/>
          <w:w w:val="95"/>
        </w:rPr>
        <w:t xml:space="preserve">喷雾。操作后彻底清洗皮肤。使用本产品时不要进食、饮水或吸烟。只能在室外或通风   </w:t>
      </w:r>
      <w:r>
        <w:t>良好之处使用。避免释放到环境中。戴防护眼罩/戴防护面具。戴防护手套/穿防护服。</w:t>
      </w:r>
    </w:p>
    <w:p>
      <w:pPr>
        <w:pStyle w:val="3"/>
        <w:spacing w:before="1" w:line="280" w:lineRule="auto"/>
        <w:ind w:right="137"/>
      </w:pPr>
      <w:r>
        <w:rPr>
          <w:w w:val="99"/>
        </w:rPr>
        <w:t xml:space="preserve"> </w:t>
      </w:r>
      <w:r>
        <w:t>事故响应：如皮肤沾染：用水充分清洗。如接触皮肤：使用大量水冲洗。如觉不适。呼叫解毒中心或就医。如果吸入：将受害人移</w:t>
      </w:r>
      <w:r>
        <w:rPr>
          <w:spacing w:val="-1"/>
        </w:rPr>
        <w:t>至空气新鲜处并保持呼吸舒适的姿势休息。如觉不适。呼叫解毒中心或就医。如进入眼睛：用水小心冲洗几分钟。如戴隐形眼镜并可</w:t>
      </w:r>
      <w:r>
        <w:rPr>
          <w:w w:val="95"/>
        </w:rPr>
        <w:t>方便地取出。取出隐形眼镜。继续冲洗。如感觉不适。求医/就诊。如发生皮肤刺激：求医/就诊。如仍觉眼刺激：求医/</w:t>
      </w:r>
      <w:r>
        <w:rPr>
          <w:spacing w:val="-4"/>
          <w:w w:val="95"/>
        </w:rPr>
        <w:t xml:space="preserve">就诊。脱掉所     </w:t>
      </w:r>
      <w:r>
        <w:t>有沾染的衣服。清洗后方可重新使用。收集溢出物。</w:t>
      </w:r>
    </w:p>
    <w:p>
      <w:pPr>
        <w:pStyle w:val="3"/>
        <w:spacing w:before="0"/>
      </w:pPr>
      <w:r>
        <w:rPr>
          <w:w w:val="99"/>
        </w:rPr>
        <w:t xml:space="preserve"> </w:t>
      </w:r>
      <w:r>
        <w:t>安全存储：存放在通风良好的地方。保持容器密闭。存放处须加锁。</w:t>
      </w:r>
    </w:p>
    <w:p>
      <w:pPr>
        <w:pStyle w:val="3"/>
        <w:spacing w:before="40"/>
      </w:pPr>
      <w:r>
        <w:rPr>
          <w:w w:val="96"/>
        </w:rPr>
        <w:t xml:space="preserve"> </w:t>
      </w:r>
      <w:r>
        <w:t>废弃处置：按照地方/区域/国家/国际规章处置内装物/容器。</w:t>
      </w:r>
    </w:p>
    <w:p>
      <w:pPr>
        <w:pStyle w:val="3"/>
      </w:pPr>
      <w:r>
        <w:rPr>
          <w:w w:val="94"/>
        </w:rPr>
        <w:t xml:space="preserve"> </w:t>
      </w:r>
      <w:r>
        <w:t>2.4 物理化学危险性信息：不适用</w:t>
      </w:r>
    </w:p>
    <w:p>
      <w:pPr>
        <w:pStyle w:val="3"/>
        <w:spacing w:before="40" w:line="280" w:lineRule="auto"/>
        <w:ind w:right="259"/>
      </w:pPr>
      <w:r>
        <w:rPr>
          <w:w w:val="97"/>
        </w:rPr>
        <w:t xml:space="preserve"> </w:t>
      </w:r>
      <w:r>
        <w:rPr>
          <w:w w:val="95"/>
        </w:rPr>
        <w:t>2.5  健康危害：皮肤接触或吸入有害。造成皮肤刺激。造成严重眼刺激。可能造成呼吸道刺激。长期吞咽或反复接触会对(甲状腺)器</w:t>
      </w:r>
      <w:r>
        <w:t>官造成损害。</w:t>
      </w:r>
    </w:p>
    <w:p>
      <w:pPr>
        <w:pStyle w:val="3"/>
        <w:spacing w:before="0"/>
      </w:pPr>
      <w:r>
        <w:rPr>
          <w:w w:val="94"/>
        </w:rPr>
        <w:t xml:space="preserve"> </w:t>
      </w:r>
      <w:r>
        <w:t>2.6 环境危害：对水生生物毒性极大。</w:t>
      </w:r>
    </w:p>
    <w:p>
      <w:pPr>
        <w:pStyle w:val="3"/>
        <w:spacing w:line="220" w:lineRule="exact"/>
      </w:pPr>
      <w:r>
        <w:rPr>
          <w:w w:val="91"/>
        </w:rPr>
        <w:t xml:space="preserve"> </w:t>
      </w:r>
      <w:r>
        <w:t>2.7 其他危害物：无资料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rPr>
          <w:w w:val="90"/>
        </w:rPr>
        <w:t>3.成分/组成信息</w:t>
      </w:r>
    </w:p>
    <w:p>
      <w:pPr>
        <w:pStyle w:val="3"/>
        <w:spacing w:before="40"/>
      </w:pPr>
      <w:r>
        <w:rPr>
          <w:w w:val="96"/>
        </w:rPr>
        <w:t xml:space="preserve"> </w:t>
      </w:r>
      <w:r>
        <w:rPr>
          <w:w w:val="95"/>
        </w:rPr>
        <w:t>组成信息：纯品</w:t>
      </w:r>
    </w:p>
    <w:p>
      <w:pPr>
        <w:pStyle w:val="3"/>
        <w:tabs>
          <w:tab w:val="left" w:pos="3626"/>
          <w:tab w:val="left" w:pos="7113"/>
        </w:tabs>
        <w:spacing w:before="47"/>
        <w:ind w:left="140"/>
      </w:pPr>
      <w:r>
        <w:rPr>
          <w:w w:val="105"/>
        </w:rPr>
        <w:t>成分</w:t>
      </w:r>
      <w:r>
        <w:rPr>
          <w:w w:val="105"/>
        </w:rPr>
        <w:tab/>
      </w:r>
      <w:r>
        <w:rPr>
          <w:w w:val="105"/>
        </w:rPr>
        <w:t>CAS</w:t>
      </w:r>
      <w:r>
        <w:rPr>
          <w:spacing w:val="28"/>
          <w:w w:val="105"/>
        </w:rPr>
        <w:t xml:space="preserve"> </w:t>
      </w:r>
      <w:r>
        <w:rPr>
          <w:w w:val="105"/>
        </w:rPr>
        <w:t>RN</w:t>
      </w:r>
      <w:r>
        <w:rPr>
          <w:w w:val="105"/>
        </w:rPr>
        <w:tab/>
      </w:r>
      <w:r>
        <w:rPr>
          <w:w w:val="105"/>
        </w:rPr>
        <w:t>含量（%）</w:t>
      </w:r>
    </w:p>
    <w:p>
      <w:pPr>
        <w:tabs>
          <w:tab w:val="left" w:pos="10568"/>
        </w:tabs>
        <w:spacing w:before="20"/>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tabs>
          <w:tab w:val="left" w:pos="3626"/>
          <w:tab w:val="left" w:pos="7113"/>
        </w:tabs>
        <w:spacing w:before="0"/>
        <w:ind w:left="140"/>
      </w:pPr>
      <w:r>
        <w:t>主要成分：碘</w:t>
      </w:r>
      <w:r>
        <w:tab/>
      </w:r>
      <w:r>
        <w:rPr>
          <w:w w:val="95"/>
        </w:rPr>
        <w:t>7553-56-2</w:t>
      </w:r>
      <w:r>
        <w:rPr>
          <w:w w:val="95"/>
        </w:rPr>
        <w:tab/>
      </w:r>
      <w:r>
        <w:t>≤100</w:t>
      </w:r>
    </w:p>
    <w:p>
      <w:pPr>
        <w:tabs>
          <w:tab w:val="left" w:pos="10568"/>
        </w:tabs>
        <w:spacing w:before="20"/>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spacing w:before="1"/>
        <w:ind w:left="140"/>
      </w:pPr>
      <w:r>
        <w:t>次要成分：</w:t>
      </w:r>
    </w:p>
    <w:p>
      <w:pPr>
        <w:spacing w:before="19"/>
        <w:ind w:left="100" w:right="0" w:firstLine="0"/>
        <w:jc w:val="left"/>
        <w:rPr>
          <w:sz w:val="6"/>
        </w:rPr>
      </w:pPr>
      <w:r>
        <w:rPr>
          <w:w w:val="41"/>
          <w:sz w:val="6"/>
        </w:rPr>
        <w:t xml:space="preserve"> </w:t>
      </w:r>
    </w:p>
    <w:p>
      <w:pPr>
        <w:spacing w:after="0"/>
        <w:jc w:val="left"/>
        <w:rPr>
          <w:sz w:val="6"/>
        </w:rPr>
        <w:sectPr>
          <w:pgSz w:w="11900" w:h="16840"/>
          <w:pgMar w:top="760" w:right="600" w:bottom="700" w:left="620" w:header="0" w:footer="509" w:gutter="0"/>
          <w:cols w:space="720" w:num="1"/>
        </w:sectPr>
      </w:pPr>
    </w:p>
    <w:p>
      <w:pPr>
        <w:pStyle w:val="3"/>
        <w:spacing w:before="50"/>
      </w:pPr>
      <w:r>
        <w:t>4.急救措施</w:t>
      </w:r>
    </w:p>
    <w:p>
      <w:pPr>
        <w:pStyle w:val="3"/>
      </w:pPr>
      <w:r>
        <w:rPr>
          <w:w w:val="92"/>
        </w:rPr>
        <w:t xml:space="preserve"> </w:t>
      </w:r>
      <w:r>
        <w:t>4.1 必要的急救措施描述：</w:t>
      </w:r>
    </w:p>
    <w:p>
      <w:pPr>
        <w:pStyle w:val="3"/>
      </w:pPr>
      <w:r>
        <w:rPr>
          <w:w w:val="95"/>
        </w:rPr>
        <w:t xml:space="preserve">     </w:t>
      </w:r>
      <w:r>
        <w:t>吸入：如果吸入,请将患者移到新鲜空气处。如呼吸停止，进行人工呼吸。请教医生。</w:t>
      </w:r>
    </w:p>
    <w:p>
      <w:pPr>
        <w:pStyle w:val="3"/>
        <w:spacing w:before="40"/>
      </w:pPr>
      <w:r>
        <w:rPr>
          <w:w w:val="93"/>
        </w:rPr>
        <w:t xml:space="preserve">     </w:t>
      </w:r>
      <w:r>
        <w:t>皮肤接触：用肥皂和大量的水冲洗。请教医生。</w:t>
      </w:r>
    </w:p>
    <w:p>
      <w:pPr>
        <w:pStyle w:val="3"/>
      </w:pPr>
      <w:r>
        <w:rPr>
          <w:w w:val="94"/>
        </w:rPr>
        <w:t xml:space="preserve">     </w:t>
      </w:r>
      <w:r>
        <w:t>眼睛接触：用大量水彻底冲洗至少15分钟并请教医生。</w:t>
      </w:r>
    </w:p>
    <w:p>
      <w:pPr>
        <w:pStyle w:val="3"/>
        <w:spacing w:before="40"/>
      </w:pPr>
      <w:r>
        <w:rPr>
          <w:w w:val="95"/>
        </w:rPr>
        <w:t xml:space="preserve">     </w:t>
      </w:r>
      <w:r>
        <w:t>食入：切勿给失去知觉者从嘴里喂食任何东西。用水漱口。请教医生。</w:t>
      </w:r>
    </w:p>
    <w:p>
      <w:pPr>
        <w:pStyle w:val="3"/>
      </w:pPr>
      <w:r>
        <w:rPr>
          <w:w w:val="95"/>
        </w:rPr>
        <w:t xml:space="preserve"> </w:t>
      </w:r>
      <w:r>
        <w:t>4.2 主要症状和影响，急性和迟发效应：无资料</w:t>
      </w:r>
    </w:p>
    <w:p>
      <w:pPr>
        <w:pStyle w:val="3"/>
        <w:spacing w:line="220" w:lineRule="exact"/>
      </w:pPr>
      <w:r>
        <w:rPr>
          <w:w w:val="96"/>
        </w:rPr>
        <w:t xml:space="preserve"> </w:t>
      </w:r>
      <w:r>
        <w:t>4.3 及时的医疗处理和特殊治疗的说明和提示：无资料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5.消防措施</w:t>
      </w:r>
    </w:p>
    <w:p>
      <w:pPr>
        <w:pStyle w:val="3"/>
        <w:spacing w:before="40"/>
      </w:pPr>
      <w:r>
        <w:rPr>
          <w:w w:val="93"/>
        </w:rPr>
        <w:t xml:space="preserve"> </w:t>
      </w:r>
      <w:r>
        <w:t>5.1 特别危险性描述：无资料</w:t>
      </w:r>
    </w:p>
    <w:p>
      <w:pPr>
        <w:pStyle w:val="3"/>
      </w:pPr>
      <w:r>
        <w:rPr>
          <w:w w:val="97"/>
        </w:rPr>
        <w:t xml:space="preserve"> </w:t>
      </w:r>
      <w:r>
        <w:t>5.2 灭火方法或灭火剂：本品不燃。根据着火原因选择适当灭火剂灭火。</w:t>
      </w:r>
    </w:p>
    <w:p>
      <w:pPr>
        <w:pStyle w:val="3"/>
        <w:spacing w:before="40" w:line="220" w:lineRule="exact"/>
      </w:pPr>
      <w:r>
        <w:rPr>
          <w:w w:val="95"/>
        </w:rPr>
        <w:t xml:space="preserve"> </w:t>
      </w:r>
      <w:r>
        <w:t>5.3 灭火注意事项及措施：如必要的话,戴自给式呼吸器去救火。</w:t>
      </w:r>
    </w:p>
    <w:p>
      <w:pPr>
        <w:spacing w:before="0" w:line="67" w:lineRule="exact"/>
        <w:ind w:left="100" w:right="0" w:firstLine="0"/>
        <w:jc w:val="left"/>
        <w:rPr>
          <w:sz w:val="6"/>
        </w:rPr>
      </w:pPr>
      <w:r>
        <w:rPr>
          <w:w w:val="41"/>
          <w:sz w:val="6"/>
        </w:rPr>
        <w:t xml:space="preserve"> </w:t>
      </w:r>
    </w:p>
    <w:p>
      <w:pPr>
        <w:pStyle w:val="3"/>
        <w:spacing w:before="8"/>
        <w:ind w:left="0"/>
        <w:rPr>
          <w:sz w:val="5"/>
        </w:rPr>
      </w:pPr>
    </w:p>
    <w:p>
      <w:pPr>
        <w:pStyle w:val="3"/>
        <w:spacing w:before="1"/>
      </w:pPr>
      <w:r>
        <w:t>6.泄露应急措施</w:t>
      </w:r>
    </w:p>
    <w:p>
      <w:pPr>
        <w:pStyle w:val="3"/>
        <w:spacing w:line="280" w:lineRule="auto"/>
        <w:ind w:right="214"/>
      </w:pPr>
      <w:r>
        <w:rPr>
          <w:w w:val="98"/>
        </w:rPr>
        <w:t xml:space="preserve"> </w:t>
      </w:r>
      <w:r>
        <w:rPr>
          <w:w w:val="95"/>
        </w:rPr>
        <w:t>6.1   作业人员的防护措施、防护设备和应急处置程序：使用个人防护用品。避免粉尘生成。避免吸入蒸气、烟雾或气体。保证充分的</w:t>
      </w:r>
      <w:r>
        <w:t>通风。人员疏散到安全区域。避免吸入粉尘。</w:t>
      </w:r>
    </w:p>
    <w:p>
      <w:pPr>
        <w:pStyle w:val="3"/>
        <w:spacing w:before="0"/>
      </w:pPr>
      <w:r>
        <w:rPr>
          <w:w w:val="98"/>
        </w:rPr>
        <w:t xml:space="preserve"> </w:t>
      </w:r>
      <w:r>
        <w:t>6.2 环境保护措施：如能确保安全，可采取措施防止进一步的泄漏或溢出。不要让产品进入下水道。避免排放到周围环境中。</w:t>
      </w:r>
    </w:p>
    <w:p>
      <w:pPr>
        <w:pStyle w:val="3"/>
        <w:spacing w:before="0" w:line="270" w:lineRule="atLeast"/>
        <w:ind w:right="214"/>
      </w:pPr>
      <w:r>
        <w:rPr>
          <w:w w:val="98"/>
        </w:rPr>
        <w:t xml:space="preserve"> </w:t>
      </w:r>
      <w:r>
        <w:rPr>
          <w:w w:val="95"/>
        </w:rPr>
        <w:t>6.3   泄露化学品的收容、清除方法及所使用的处置材料：围堵溢出，用防电真空清洁器或湿刷子将溢出物收集起来，并放置到容器中</w:t>
      </w:r>
      <w:r>
        <w:t>去,根据当地规定处理。</w:t>
      </w:r>
    </w:p>
    <w:p>
      <w:pPr>
        <w:spacing w:before="0" w:line="56"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7.操作处置与储存</w:t>
      </w:r>
    </w:p>
    <w:p>
      <w:pPr>
        <w:pStyle w:val="3"/>
        <w:spacing w:before="40" w:line="280" w:lineRule="auto"/>
        <w:ind w:right="114"/>
      </w:pPr>
      <w:r>
        <w:rPr>
          <w:w w:val="97"/>
        </w:rPr>
        <w:t xml:space="preserve"> </w:t>
      </w:r>
      <w:r>
        <w:rPr>
          <w:w w:val="95"/>
        </w:rPr>
        <w:t>7.1   安全处置注意事项：避免接触皮肤和眼睛。防止粉尘和气溶胶生成。在有粉尘生成的地方,提供合适的排风设备。防止吸入蒸汽和</w:t>
      </w:r>
      <w:r>
        <w:t>烟雾。切勿靠近火源。－严禁烟火。采取措施防止静电积聚。</w:t>
      </w:r>
    </w:p>
    <w:p>
      <w:pPr>
        <w:pStyle w:val="3"/>
        <w:spacing w:before="0" w:line="280" w:lineRule="auto"/>
        <w:ind w:right="214"/>
      </w:pPr>
      <w:r>
        <w:rPr>
          <w:w w:val="98"/>
        </w:rPr>
        <w:t xml:space="preserve"> </w:t>
      </w:r>
      <w:r>
        <w:rPr>
          <w:w w:val="95"/>
        </w:rPr>
        <w:t>7.2</w:t>
      </w:r>
      <w:r>
        <w:rPr>
          <w:spacing w:val="-1"/>
          <w:w w:val="95"/>
        </w:rPr>
        <w:t xml:space="preserve">   安全储存注意事项：储存于阴凉、通风的库房。远离火种、热源。应与氨、活性金属粉末等分开存放，切忌混储。储区应备有合</w:t>
      </w:r>
      <w:r>
        <w:t>适的材料收容泄漏物。</w:t>
      </w:r>
    </w:p>
    <w:p>
      <w:pPr>
        <w:pStyle w:val="3"/>
        <w:spacing w:before="0" w:line="220" w:lineRule="exact"/>
      </w:pPr>
      <w:r>
        <w:rPr>
          <w:w w:val="91"/>
        </w:rPr>
        <w:t xml:space="preserve"> </w:t>
      </w:r>
      <w:r>
        <w:rPr>
          <w:w w:val="90"/>
        </w:rPr>
        <w:t>7.3 不兼容性：无资料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8.接触控制/个体防护</w:t>
      </w:r>
    </w:p>
    <w:p>
      <w:pPr>
        <w:pStyle w:val="3"/>
        <w:spacing w:before="40"/>
      </w:pPr>
      <w:r>
        <w:rPr>
          <w:w w:val="93"/>
        </w:rPr>
        <w:t xml:space="preserve"> </w:t>
      </w:r>
      <w:r>
        <w:t>8.1 作业场所职业接触限值：</w:t>
      </w:r>
    </w:p>
    <w:p>
      <w:pPr>
        <w:pStyle w:val="3"/>
      </w:pPr>
      <w:r>
        <w:rPr>
          <w:w w:val="107"/>
        </w:rPr>
        <w:t xml:space="preserve"> </w:t>
      </w:r>
      <w:r>
        <w:rPr>
          <w:w w:val="105"/>
        </w:rPr>
        <w:t>MAC(mg/m3)：1</w:t>
      </w:r>
    </w:p>
    <w:p>
      <w:pPr>
        <w:pStyle w:val="3"/>
        <w:spacing w:before="40"/>
      </w:pPr>
      <w:r>
        <w:rPr>
          <w:w w:val="100"/>
        </w:rPr>
        <w:t xml:space="preserve"> </w:t>
      </w:r>
      <w:r>
        <w:t>PC-STEL(mg/m3)：无资料</w:t>
      </w:r>
    </w:p>
    <w:p>
      <w:pPr>
        <w:pStyle w:val="3"/>
      </w:pPr>
      <w:r>
        <w:rPr>
          <w:w w:val="106"/>
        </w:rPr>
        <w:t xml:space="preserve"> </w:t>
      </w:r>
      <w:r>
        <w:rPr>
          <w:w w:val="105"/>
        </w:rPr>
        <w:t>TLV-TWA(mg/m3)：无资料</w:t>
      </w:r>
    </w:p>
    <w:p>
      <w:pPr>
        <w:pStyle w:val="3"/>
      </w:pPr>
      <w:r>
        <w:rPr>
          <w:w w:val="105"/>
        </w:rPr>
        <w:t xml:space="preserve"> PC-TWA(mg/m3)：无资料</w:t>
      </w:r>
    </w:p>
    <w:p>
      <w:pPr>
        <w:pStyle w:val="3"/>
        <w:spacing w:before="40"/>
      </w:pPr>
      <w:r>
        <w:rPr>
          <w:w w:val="101"/>
        </w:rPr>
        <w:t xml:space="preserve"> </w:t>
      </w:r>
      <w:r>
        <w:t>TLV-C(mg/m3)：1</w:t>
      </w:r>
    </w:p>
    <w:p>
      <w:pPr>
        <w:pStyle w:val="3"/>
      </w:pPr>
      <w:r>
        <w:rPr>
          <w:w w:val="103"/>
        </w:rPr>
        <w:t xml:space="preserve"> </w:t>
      </w:r>
      <w:r>
        <w:rPr>
          <w:w w:val="105"/>
        </w:rPr>
        <w:t>TLV=STEL(mg/m3)：无资料</w:t>
      </w:r>
    </w:p>
    <w:p>
      <w:pPr>
        <w:pStyle w:val="3"/>
      </w:pPr>
      <w:r>
        <w:rPr>
          <w:w w:val="91"/>
        </w:rPr>
        <w:t xml:space="preserve"> </w:t>
      </w:r>
      <w:r>
        <w:t>8.2 检测方法：无资料</w:t>
      </w:r>
    </w:p>
    <w:p>
      <w:pPr>
        <w:pStyle w:val="3"/>
        <w:spacing w:before="40"/>
      </w:pPr>
      <w:r>
        <w:rPr>
          <w:w w:val="97"/>
        </w:rPr>
        <w:t xml:space="preserve"> </w:t>
      </w:r>
      <w:r>
        <w:t>8.3 工程控制：生产过程密闭，加强通风。提供安全淋浴和洗眼设备。</w:t>
      </w:r>
    </w:p>
    <w:p>
      <w:pPr>
        <w:pStyle w:val="3"/>
      </w:pPr>
      <w:r>
        <w:rPr>
          <w:w w:val="87"/>
        </w:rPr>
        <w:t xml:space="preserve"> </w:t>
      </w:r>
      <w:r>
        <w:t>8.4 暴露控制：</w:t>
      </w:r>
    </w:p>
    <w:p>
      <w:pPr>
        <w:pStyle w:val="3"/>
        <w:spacing w:before="40" w:line="280" w:lineRule="auto"/>
        <w:ind w:right="131"/>
      </w:pPr>
      <w:r>
        <w:rPr>
          <w:w w:val="97"/>
        </w:rPr>
        <w:t xml:space="preserve">     </w:t>
      </w:r>
      <w:r>
        <w:rPr>
          <w:spacing w:val="-1"/>
          <w:w w:val="95"/>
        </w:rPr>
        <w:t xml:space="preserve">呼吸系统防护：如危险性评测显示需要使用空气净化的防毒面具，请使用全面罩式多功能防毒面具或防毒面具筒作为工程控制的候  </w:t>
      </w:r>
      <w:r>
        <w:t>补。如果防毒面具是保护的唯一方式，则使用全面罩式送风防毒面具。呼吸器使用经过测试并通过政府标准的呼吸器和零件。</w:t>
      </w:r>
    </w:p>
    <w:p>
      <w:pPr>
        <w:pStyle w:val="3"/>
        <w:spacing w:before="0"/>
      </w:pPr>
      <w:r>
        <w:rPr>
          <w:w w:val="88"/>
        </w:rPr>
        <w:t xml:space="preserve">     </w:t>
      </w:r>
      <w:r>
        <w:t>手防护：戴橡胶手套。</w:t>
      </w:r>
    </w:p>
    <w:p>
      <w:pPr>
        <w:pStyle w:val="3"/>
      </w:pPr>
      <w:r>
        <w:rPr>
          <w:w w:val="91"/>
        </w:rPr>
        <w:t xml:space="preserve">     </w:t>
      </w:r>
      <w:r>
        <w:t>眼睛防护：戴化学安全防护眼镜。</w:t>
      </w:r>
    </w:p>
    <w:p>
      <w:pPr>
        <w:pStyle w:val="3"/>
        <w:spacing w:before="40"/>
      </w:pPr>
      <w:r>
        <w:rPr>
          <w:w w:val="92"/>
        </w:rPr>
        <w:t xml:space="preserve">     </w:t>
      </w:r>
      <w:r>
        <w:t>皮肤和身体防护：穿防毒物渗透工作服。</w:t>
      </w:r>
    </w:p>
    <w:p>
      <w:pPr>
        <w:pStyle w:val="3"/>
        <w:spacing w:line="220" w:lineRule="exact"/>
      </w:pPr>
      <w:r>
        <w:rPr>
          <w:w w:val="95"/>
        </w:rPr>
        <w:t xml:space="preserve">     </w:t>
      </w:r>
      <w:r>
        <w:t>其他防护：工作现场禁止吸烟。工作毕，淋浴更衣。注意个人清洁卫生。</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9.理化特性</w:t>
      </w:r>
    </w:p>
    <w:p>
      <w:pPr>
        <w:spacing w:after="0"/>
        <w:sectPr>
          <w:pgSz w:w="11900" w:h="16840"/>
          <w:pgMar w:top="760" w:right="600" w:bottom="700" w:left="620" w:header="0" w:footer="509" w:gutter="0"/>
          <w:cols w:space="720" w:num="1"/>
        </w:sectPr>
      </w:pPr>
    </w:p>
    <w:p>
      <w:pPr>
        <w:pStyle w:val="3"/>
        <w:spacing w:before="48" w:line="205" w:lineRule="exact"/>
        <w:ind w:left="140"/>
      </w:pPr>
      <w:r>
        <w:t>外观与性状：灰黑色或蓝黑色、有金属光泽的片状结晶或块状物，质重、脆</w:t>
      </w:r>
    </w:p>
    <w:p>
      <w:pPr>
        <w:pStyle w:val="3"/>
        <w:spacing w:before="0" w:line="205" w:lineRule="exact"/>
        <w:ind w:left="140"/>
      </w:pPr>
      <w:r>
        <w:t>，有特臭，在常温中能挥发，对光敏感。</w:t>
      </w:r>
    </w:p>
    <w:p>
      <w:pPr>
        <w:pStyle w:val="3"/>
        <w:spacing w:before="48"/>
        <w:ind w:left="140"/>
      </w:pPr>
      <w:r>
        <w:br w:type="column"/>
      </w:r>
      <w:r>
        <w:t>气味：有特臭</w:t>
      </w:r>
    </w:p>
    <w:p>
      <w:pPr>
        <w:spacing w:after="0"/>
        <w:sectPr>
          <w:type w:val="continuous"/>
          <w:pgSz w:w="11900" w:h="16840"/>
          <w:pgMar w:top="1580" w:right="600" w:bottom="1180" w:left="620" w:header="720" w:footer="720" w:gutter="0"/>
          <w:cols w:equalWidth="0" w:num="2">
            <w:col w:w="6121" w:space="155"/>
            <w:col w:w="4404"/>
          </w:cols>
        </w:sectPr>
      </w:pPr>
    </w:p>
    <w:p>
      <w:pPr>
        <w:pStyle w:val="3"/>
        <w:tabs>
          <w:tab w:val="left" w:pos="6415"/>
        </w:tabs>
        <w:spacing w:before="8"/>
        <w:ind w:left="140"/>
      </w:pPr>
      <w:r>
        <w:t>气味阈值：无资料</w:t>
      </w:r>
      <w:r>
        <w:tab/>
      </w:r>
      <w:r>
        <w:t>pH：3.4(H2O)</w:t>
      </w:r>
    </w:p>
    <w:p>
      <w:pPr>
        <w:pStyle w:val="3"/>
        <w:tabs>
          <w:tab w:val="left" w:pos="6415"/>
        </w:tabs>
        <w:spacing w:before="7"/>
        <w:ind w:left="140"/>
      </w:pPr>
      <w:r>
        <w:rPr>
          <w:w w:val="95"/>
        </w:rPr>
        <w:t>熔点/凝固点(℃)：113-114℃</w:t>
      </w:r>
      <w:r>
        <w:rPr>
          <w:w w:val="95"/>
        </w:rPr>
        <w:tab/>
      </w:r>
      <w:r>
        <w:t>沸点、初沸点、沸程(℃)：184-185℃/760mmHg</w:t>
      </w:r>
    </w:p>
    <w:p>
      <w:pPr>
        <w:pStyle w:val="3"/>
        <w:tabs>
          <w:tab w:val="left" w:pos="6415"/>
        </w:tabs>
        <w:spacing w:before="8"/>
        <w:ind w:left="140"/>
      </w:pPr>
      <w:r>
        <w:rPr>
          <w:w w:val="95"/>
        </w:rPr>
        <w:t>密度/相对密度(水=1)：ρ(20)4.93g/mL</w:t>
      </w:r>
      <w:r>
        <w:rPr>
          <w:w w:val="95"/>
        </w:rPr>
        <w:tab/>
      </w:r>
      <w:r>
        <w:t>蒸汽密度(空气=1)：9</w:t>
      </w:r>
    </w:p>
    <w:p>
      <w:pPr>
        <w:pStyle w:val="3"/>
        <w:tabs>
          <w:tab w:val="left" w:pos="6415"/>
        </w:tabs>
        <w:spacing w:before="8"/>
        <w:ind w:left="140"/>
      </w:pPr>
      <w:r>
        <w:rPr>
          <w:w w:val="90"/>
        </w:rPr>
        <w:t>蒸汽压(kPa)：4.93(25℃,固体)</w:t>
      </w:r>
      <w:r>
        <w:rPr>
          <w:w w:val="90"/>
        </w:rPr>
        <w:tab/>
      </w:r>
      <w:r>
        <w:t>燃烧热(kJ/mol)：无资料</w:t>
      </w:r>
    </w:p>
    <w:p>
      <w:pPr>
        <w:pStyle w:val="3"/>
        <w:tabs>
          <w:tab w:val="left" w:pos="6415"/>
        </w:tabs>
        <w:spacing w:before="8"/>
        <w:ind w:left="140"/>
      </w:pPr>
      <w:r>
        <w:t>分解温度：无资料</w:t>
      </w:r>
      <w:r>
        <w:tab/>
      </w:r>
      <w:r>
        <w:t>临界压力：无资料</w:t>
      </w:r>
    </w:p>
    <w:p>
      <w:pPr>
        <w:pStyle w:val="3"/>
        <w:tabs>
          <w:tab w:val="left" w:pos="6415"/>
        </w:tabs>
        <w:spacing w:before="8"/>
        <w:ind w:left="140"/>
      </w:pPr>
      <w:r>
        <w:t>辛醇/水分配系数的对数值：无资料</w:t>
      </w:r>
      <w:r>
        <w:tab/>
      </w:r>
      <w:r>
        <w:rPr>
          <w:w w:val="95"/>
        </w:rPr>
        <w:t>闪点(℃)：无资料</w:t>
      </w:r>
    </w:p>
    <w:p>
      <w:pPr>
        <w:pStyle w:val="3"/>
        <w:tabs>
          <w:tab w:val="left" w:pos="6415"/>
        </w:tabs>
        <w:spacing w:before="7"/>
        <w:ind w:left="140"/>
      </w:pPr>
      <w:r>
        <w:t>自燃温度(℃)：无资料</w:t>
      </w:r>
      <w:r>
        <w:tab/>
      </w:r>
      <w:r>
        <w:t>爆炸上限%（V/V）：无资料</w:t>
      </w:r>
    </w:p>
    <w:p>
      <w:pPr>
        <w:spacing w:after="0"/>
        <w:sectPr>
          <w:type w:val="continuous"/>
          <w:pgSz w:w="11900" w:h="16840"/>
          <w:pgMar w:top="1580" w:right="600" w:bottom="1180" w:left="620" w:header="720" w:footer="720" w:gutter="0"/>
          <w:cols w:space="720" w:num="1"/>
        </w:sectPr>
      </w:pPr>
    </w:p>
    <w:p>
      <w:pPr>
        <w:pStyle w:val="3"/>
        <w:spacing w:before="48" w:line="187" w:lineRule="auto"/>
        <w:ind w:left="140"/>
      </w:pPr>
      <w:r>
        <w:t>溶解性：易溶于乙醇、乙醚和二硫化碳，溶于氢氟酸、苯、氯仿、四氯化碳等多数有机溶剂，几乎不溶于水，溶于碘化钾或碘化钠的水溶液。</w:t>
      </w:r>
    </w:p>
    <w:p>
      <w:pPr>
        <w:pStyle w:val="3"/>
        <w:spacing w:before="8"/>
        <w:ind w:left="115"/>
      </w:pPr>
      <w:r>
        <w:br w:type="column"/>
      </w:r>
      <w:r>
        <w:rPr>
          <w:w w:val="105"/>
        </w:rPr>
        <w:t>爆炸下限%（V/V）：无资料</w:t>
      </w:r>
    </w:p>
    <w:p>
      <w:pPr>
        <w:spacing w:after="0"/>
        <w:sectPr>
          <w:type w:val="continuous"/>
          <w:pgSz w:w="11900" w:h="16840"/>
          <w:pgMar w:top="1580" w:right="600" w:bottom="1180" w:left="620" w:header="720" w:footer="720" w:gutter="0"/>
          <w:cols w:equalWidth="0" w:num="2">
            <w:col w:w="6261" w:space="40"/>
            <w:col w:w="4379"/>
          </w:cols>
        </w:sectPr>
      </w:pPr>
    </w:p>
    <w:p>
      <w:pPr>
        <w:pStyle w:val="3"/>
        <w:tabs>
          <w:tab w:val="left" w:pos="6415"/>
        </w:tabs>
        <w:spacing w:before="19"/>
        <w:ind w:left="140"/>
      </w:pPr>
      <w:r>
        <w:t>易燃性（固体、气体）：无资料</w:t>
      </w:r>
      <w:r>
        <w:tab/>
      </w:r>
      <w:r>
        <w:t>蒸发速率：无资料</w:t>
      </w:r>
    </w:p>
    <w:p>
      <w:pPr>
        <w:pStyle w:val="3"/>
        <w:spacing w:before="169"/>
      </w:pPr>
      <w:r>
        <w:t>10.稳定性和反应性</w:t>
      </w:r>
    </w:p>
    <w:p>
      <w:pPr>
        <w:spacing w:after="0"/>
        <w:sectPr>
          <w:type w:val="continuous"/>
          <w:pgSz w:w="11900" w:h="16840"/>
          <w:pgMar w:top="1580" w:right="600" w:bottom="1180" w:left="620" w:header="720" w:footer="720" w:gutter="0"/>
          <w:cols w:space="720" w:num="1"/>
        </w:sectPr>
      </w:pPr>
    </w:p>
    <w:p>
      <w:pPr>
        <w:pStyle w:val="3"/>
        <w:spacing w:before="50"/>
      </w:pPr>
      <w:r>
        <w:rPr>
          <w:w w:val="89"/>
        </w:rPr>
        <w:t xml:space="preserve"> </w:t>
      </w:r>
      <w:r>
        <w:t>10.1 稳定性：稳定</w:t>
      </w:r>
    </w:p>
    <w:p>
      <w:pPr>
        <w:pStyle w:val="3"/>
      </w:pPr>
      <w:r>
        <w:rPr>
          <w:w w:val="91"/>
        </w:rPr>
        <w:t xml:space="preserve"> </w:t>
      </w:r>
      <w:r>
        <w:t>10.2 危险反应：无资料</w:t>
      </w:r>
    </w:p>
    <w:p>
      <w:pPr>
        <w:pStyle w:val="3"/>
      </w:pPr>
      <w:r>
        <w:rPr>
          <w:w w:val="92"/>
        </w:rPr>
        <w:t xml:space="preserve"> </w:t>
      </w:r>
      <w:r>
        <w:t>10.3 应避免的条件：受热。</w:t>
      </w:r>
    </w:p>
    <w:p>
      <w:pPr>
        <w:pStyle w:val="3"/>
        <w:spacing w:before="40"/>
      </w:pPr>
      <w:r>
        <w:rPr>
          <w:w w:val="93"/>
        </w:rPr>
        <w:t xml:space="preserve"> </w:t>
      </w:r>
      <w:r>
        <w:t>10.4 不相容物质：铝、氨、镁锌。</w:t>
      </w:r>
    </w:p>
    <w:p>
      <w:pPr>
        <w:pStyle w:val="3"/>
        <w:spacing w:line="220" w:lineRule="exact"/>
      </w:pPr>
      <w:r>
        <w:rPr>
          <w:w w:val="93"/>
        </w:rPr>
        <w:t xml:space="preserve"> </w:t>
      </w:r>
      <w:r>
        <w:t>10.5 危险的分解产物：无资料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11.毒理学信息</w:t>
      </w:r>
    </w:p>
    <w:p>
      <w:pPr>
        <w:pStyle w:val="3"/>
        <w:spacing w:before="40"/>
      </w:pPr>
      <w:r>
        <w:rPr>
          <w:w w:val="91"/>
        </w:rPr>
        <w:t xml:space="preserve"> </w:t>
      </w:r>
      <w:r>
        <w:t>11.1 急性毒性：无资料</w:t>
      </w:r>
    </w:p>
    <w:p>
      <w:pPr>
        <w:pStyle w:val="3"/>
      </w:pPr>
      <w:r>
        <w:rPr>
          <w:w w:val="93"/>
        </w:rPr>
        <w:t xml:space="preserve"> </w:t>
      </w:r>
      <w:r>
        <w:rPr>
          <w:w w:val="95"/>
        </w:rPr>
        <w:t>11.2</w:t>
      </w:r>
      <w:r>
        <w:rPr>
          <w:spacing w:val="-7"/>
          <w:w w:val="95"/>
        </w:rPr>
        <w:t xml:space="preserve"> 皮肤刺激或腐蚀：无资料</w:t>
      </w:r>
    </w:p>
    <w:p>
      <w:pPr>
        <w:pStyle w:val="3"/>
      </w:pPr>
      <w:r>
        <w:rPr>
          <w:w w:val="93"/>
        </w:rPr>
        <w:t xml:space="preserve"> </w:t>
      </w:r>
      <w:r>
        <w:rPr>
          <w:w w:val="95"/>
        </w:rPr>
        <w:t>11.3</w:t>
      </w:r>
      <w:r>
        <w:rPr>
          <w:spacing w:val="-7"/>
          <w:w w:val="95"/>
        </w:rPr>
        <w:t xml:space="preserve"> 眼睛刺激和腐蚀：无资料</w:t>
      </w:r>
    </w:p>
    <w:p>
      <w:pPr>
        <w:pStyle w:val="3"/>
        <w:spacing w:before="40"/>
      </w:pPr>
      <w:r>
        <w:rPr>
          <w:w w:val="93"/>
        </w:rPr>
        <w:t xml:space="preserve"> </w:t>
      </w:r>
      <w:r>
        <w:rPr>
          <w:w w:val="95"/>
        </w:rPr>
        <w:t>11.4</w:t>
      </w:r>
      <w:r>
        <w:rPr>
          <w:spacing w:val="-7"/>
          <w:w w:val="95"/>
        </w:rPr>
        <w:t xml:space="preserve"> 呼吸或皮肤过敏：无资料</w:t>
      </w:r>
    </w:p>
    <w:p>
      <w:pPr>
        <w:pStyle w:val="3"/>
      </w:pPr>
      <w:r>
        <w:rPr>
          <w:w w:val="93"/>
        </w:rPr>
        <w:t xml:space="preserve"> </w:t>
      </w:r>
      <w:r>
        <w:rPr>
          <w:w w:val="95"/>
        </w:rPr>
        <w:t>11.5</w:t>
      </w:r>
      <w:r>
        <w:rPr>
          <w:spacing w:val="-7"/>
          <w:w w:val="95"/>
        </w:rPr>
        <w:t xml:space="preserve"> 生殖细胞突变性：无资料</w:t>
      </w:r>
    </w:p>
    <w:p>
      <w:pPr>
        <w:pStyle w:val="3"/>
        <w:spacing w:before="40"/>
      </w:pPr>
      <w:r>
        <w:rPr>
          <w:w w:val="90"/>
        </w:rPr>
        <w:t xml:space="preserve"> </w:t>
      </w:r>
      <w:r>
        <w:t>11.6 致癌性：无资料</w:t>
      </w:r>
    </w:p>
    <w:p>
      <w:pPr>
        <w:pStyle w:val="3"/>
      </w:pPr>
      <w:r>
        <w:rPr>
          <w:w w:val="97"/>
        </w:rPr>
        <w:t xml:space="preserve"> </w:t>
      </w:r>
      <w:r>
        <w:t>11.7 生殖毒性：雌性大鼠孕后1～22天经口染毒最低中毒剂量2750mg/kg，致新生幼鼠体重增加缓慢。</w:t>
      </w:r>
    </w:p>
    <w:p>
      <w:pPr>
        <w:pStyle w:val="3"/>
      </w:pPr>
      <w:r>
        <w:rPr>
          <w:w w:val="95"/>
        </w:rPr>
        <w:t xml:space="preserve"> 11.8 特异性靶器官系统毒性（一次接触）：无资料</w:t>
      </w:r>
    </w:p>
    <w:p>
      <w:pPr>
        <w:pStyle w:val="3"/>
        <w:spacing w:before="40"/>
      </w:pPr>
      <w:r>
        <w:rPr>
          <w:w w:val="95"/>
        </w:rPr>
        <w:t xml:space="preserve"> 11.9 特异性靶器官系统毒性（反复接触）：无资料</w:t>
      </w:r>
    </w:p>
    <w:p>
      <w:pPr>
        <w:pStyle w:val="3"/>
      </w:pPr>
      <w:r>
        <w:rPr>
          <w:w w:val="91"/>
        </w:rPr>
        <w:t xml:space="preserve"> </w:t>
      </w:r>
      <w:r>
        <w:rPr>
          <w:w w:val="90"/>
        </w:rPr>
        <w:t>11.10 吸入危险：无资料</w:t>
      </w:r>
    </w:p>
    <w:p>
      <w:pPr>
        <w:pStyle w:val="3"/>
      </w:pPr>
      <w:r>
        <w:rPr>
          <w:w w:val="91"/>
        </w:rPr>
        <w:t xml:space="preserve"> </w:t>
      </w:r>
      <w:r>
        <w:rPr>
          <w:w w:val="90"/>
        </w:rPr>
        <w:t>11.11 潜在的健康危险：</w:t>
      </w:r>
    </w:p>
    <w:p>
      <w:pPr>
        <w:pStyle w:val="3"/>
        <w:spacing w:before="40"/>
      </w:pPr>
      <w:r>
        <w:rPr>
          <w:w w:val="95"/>
        </w:rPr>
        <w:t xml:space="preserve"> 吸入：无资料</w:t>
      </w:r>
    </w:p>
    <w:p>
      <w:pPr>
        <w:pStyle w:val="3"/>
      </w:pPr>
      <w:r>
        <w:rPr>
          <w:w w:val="95"/>
        </w:rPr>
        <w:t xml:space="preserve"> 摄入：无资料</w:t>
      </w:r>
    </w:p>
    <w:p>
      <w:pPr>
        <w:pStyle w:val="3"/>
        <w:spacing w:before="40"/>
      </w:pPr>
      <w:r>
        <w:rPr>
          <w:w w:val="95"/>
        </w:rPr>
        <w:t xml:space="preserve"> 皮肤：无资料</w:t>
      </w:r>
    </w:p>
    <w:p>
      <w:pPr>
        <w:pStyle w:val="3"/>
        <w:spacing w:line="220" w:lineRule="exact"/>
      </w:pPr>
      <w:r>
        <w:rPr>
          <w:w w:val="95"/>
        </w:rPr>
        <w:t xml:space="preserve"> 眼睛：无资料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rPr>
          <w:w w:val="90"/>
        </w:rPr>
        <w:t>12.生态学信息</w:t>
      </w:r>
    </w:p>
    <w:p>
      <w:pPr>
        <w:pStyle w:val="3"/>
      </w:pPr>
      <w:r>
        <w:rPr>
          <w:w w:val="91"/>
        </w:rPr>
        <w:t xml:space="preserve"> </w:t>
      </w:r>
      <w:r>
        <w:t>12.1 生态毒性：无资料</w:t>
      </w:r>
    </w:p>
    <w:p>
      <w:pPr>
        <w:pStyle w:val="3"/>
        <w:spacing w:before="40"/>
      </w:pPr>
      <w:r>
        <w:rPr>
          <w:w w:val="93"/>
        </w:rPr>
        <w:t xml:space="preserve"> </w:t>
      </w:r>
      <w:r>
        <w:t>12.2 持久性和降解性：无资料</w:t>
      </w:r>
    </w:p>
    <w:p>
      <w:pPr>
        <w:pStyle w:val="3"/>
      </w:pPr>
      <w:r>
        <w:rPr>
          <w:w w:val="93"/>
        </w:rPr>
        <w:t xml:space="preserve"> </w:t>
      </w:r>
      <w:r>
        <w:t>12.3 潜在的生物累积性：无资料</w:t>
      </w:r>
    </w:p>
    <w:p>
      <w:pPr>
        <w:pStyle w:val="3"/>
      </w:pPr>
      <w:r>
        <w:rPr>
          <w:w w:val="93"/>
        </w:rPr>
        <w:t xml:space="preserve"> </w:t>
      </w:r>
      <w:r>
        <w:t>12.4 土壤中的迁移性：无资料</w:t>
      </w:r>
    </w:p>
    <w:p>
      <w:pPr>
        <w:pStyle w:val="3"/>
        <w:spacing w:before="40" w:line="220" w:lineRule="exact"/>
      </w:pPr>
      <w:r>
        <w:rPr>
          <w:w w:val="92"/>
        </w:rPr>
        <w:t xml:space="preserve"> </w:t>
      </w:r>
      <w:r>
        <w:t>12.5 其它不良影响：无资料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13.废弃处置</w:t>
      </w:r>
    </w:p>
    <w:p>
      <w:pPr>
        <w:pStyle w:val="3"/>
      </w:pPr>
      <w:r>
        <w:rPr>
          <w:w w:val="96"/>
        </w:rPr>
        <w:t xml:space="preserve"> </w:t>
      </w:r>
      <w:r>
        <w:t>13.1 残余废弃物处置方法：将剩余的和未回收的溶液交给处理公司。</w:t>
      </w:r>
    </w:p>
    <w:p>
      <w:pPr>
        <w:pStyle w:val="3"/>
        <w:spacing w:before="40"/>
      </w:pPr>
      <w:r>
        <w:rPr>
          <w:w w:val="95"/>
        </w:rPr>
        <w:t xml:space="preserve"> </w:t>
      </w:r>
      <w:r>
        <w:t>13.2 受污染的容器和包装：按未用产品处置</w:t>
      </w:r>
    </w:p>
    <w:p>
      <w:pPr>
        <w:pStyle w:val="3"/>
        <w:spacing w:line="220" w:lineRule="exact"/>
      </w:pPr>
      <w:r>
        <w:rPr>
          <w:w w:val="96"/>
        </w:rPr>
        <w:t xml:space="preserve"> </w:t>
      </w:r>
      <w:r>
        <w:t>13.3 废弃处置注意事项：处置前参照国家和地方有关法律法规</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14.运输信息</w:t>
      </w:r>
    </w:p>
    <w:p>
      <w:pPr>
        <w:pStyle w:val="3"/>
      </w:pPr>
      <w:r>
        <w:rPr>
          <w:w w:val="104"/>
        </w:rPr>
        <w:t xml:space="preserve">  </w:t>
      </w:r>
      <w:r>
        <w:rPr>
          <w:w w:val="105"/>
        </w:rPr>
        <w:t>危规号CN：NA</w:t>
      </w:r>
    </w:p>
    <w:p>
      <w:pPr>
        <w:pStyle w:val="3"/>
        <w:spacing w:before="40"/>
      </w:pPr>
      <w:r>
        <w:rPr>
          <w:w w:val="98"/>
        </w:rPr>
        <w:t xml:space="preserve">  </w:t>
      </w:r>
      <w:r>
        <w:rPr>
          <w:w w:val="95"/>
        </w:rPr>
        <w:t>联合国危险货物编号：NA</w:t>
      </w:r>
    </w:p>
    <w:p>
      <w:pPr>
        <w:pStyle w:val="3"/>
      </w:pPr>
      <w:r>
        <w:rPr>
          <w:w w:val="99"/>
        </w:rPr>
        <w:t xml:space="preserve">  </w:t>
      </w:r>
      <w:r>
        <w:rPr>
          <w:w w:val="95"/>
        </w:rPr>
        <w:t>联合国运输名称：IODINE</w:t>
      </w:r>
    </w:p>
    <w:p>
      <w:pPr>
        <w:pStyle w:val="3"/>
        <w:spacing w:before="40"/>
      </w:pPr>
      <w:r>
        <w:rPr>
          <w:w w:val="98"/>
        </w:rPr>
        <w:t xml:space="preserve">  </w:t>
      </w:r>
      <w:r>
        <w:t>联合国危险性分类：NA</w:t>
      </w:r>
    </w:p>
    <w:p>
      <w:pPr>
        <w:pStyle w:val="3"/>
      </w:pPr>
      <w:r>
        <w:rPr>
          <w:w w:val="90"/>
        </w:rPr>
        <w:t xml:space="preserve">  </w:t>
      </w:r>
      <w:r>
        <w:t>包装组：Ⅲ</w:t>
      </w:r>
    </w:p>
    <w:p>
      <w:pPr>
        <w:pStyle w:val="3"/>
      </w:pPr>
      <w:r>
        <w:rPr>
          <w:w w:val="93"/>
        </w:rPr>
        <w:t xml:space="preserve">  </w:t>
      </w:r>
      <w:r>
        <w:t>包装方法：无资料</w:t>
      </w:r>
    </w:p>
    <w:p>
      <w:pPr>
        <w:pStyle w:val="3"/>
        <w:spacing w:before="40"/>
      </w:pPr>
      <w:r>
        <w:rPr>
          <w:w w:val="93"/>
        </w:rPr>
        <w:t xml:space="preserve">  </w:t>
      </w:r>
      <w:r>
        <w:t>海洋污染物（是/否）：是</w:t>
      </w:r>
    </w:p>
    <w:p>
      <w:pPr>
        <w:pStyle w:val="3"/>
        <w:spacing w:line="220" w:lineRule="exact"/>
      </w:pPr>
      <w:r>
        <w:rPr>
          <w:w w:val="94"/>
        </w:rPr>
        <w:t xml:space="preserve">  </w:t>
      </w:r>
      <w:r>
        <w:t>运输注意事项：无资料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15.法规信息</w:t>
      </w:r>
    </w:p>
    <w:p>
      <w:pPr>
        <w:pStyle w:val="3"/>
        <w:spacing w:before="40"/>
      </w:pPr>
      <w:r>
        <w:t>下列法律法规和标准，对化学品的安全使用、储存、运输、装卸、分类和标志等方面均作了相应的规定：</w:t>
      </w:r>
    </w:p>
    <w:p>
      <w:pPr>
        <w:pStyle w:val="3"/>
      </w:pPr>
      <w:r>
        <w:rPr>
          <w:w w:val="88"/>
        </w:rPr>
        <w:t xml:space="preserve">        </w:t>
      </w:r>
      <w:r>
        <w:t>《危险化学品名录》（2015版）：未列入</w:t>
      </w:r>
    </w:p>
    <w:p>
      <w:pPr>
        <w:pStyle w:val="3"/>
      </w:pPr>
      <w:r>
        <w:rPr>
          <w:w w:val="89"/>
        </w:rPr>
        <w:t xml:space="preserve">        </w:t>
      </w:r>
      <w:r>
        <w:t>《易制毒化学品名录》（2002版）：未列入</w:t>
      </w:r>
    </w:p>
    <w:p>
      <w:pPr>
        <w:pStyle w:val="3"/>
        <w:spacing w:before="40"/>
      </w:pPr>
      <w:r>
        <w:rPr>
          <w:w w:val="90"/>
        </w:rPr>
        <w:t xml:space="preserve">        </w:t>
      </w:r>
      <w:r>
        <w:t>《易制爆危险化学品名录》（2011版）：未列入</w:t>
      </w:r>
    </w:p>
    <w:p>
      <w:pPr>
        <w:pStyle w:val="3"/>
      </w:pPr>
      <w:r>
        <w:rPr>
          <w:w w:val="92"/>
        </w:rPr>
        <w:t xml:space="preserve">        </w:t>
      </w:r>
      <w:r>
        <w:t>化学品分类、警示标签和警示性说明规范系列标准（GB 20576～GB 20602）</w:t>
      </w:r>
    </w:p>
    <w:p>
      <w:pPr>
        <w:pStyle w:val="3"/>
        <w:spacing w:line="220" w:lineRule="exact"/>
      </w:pPr>
      <w:r>
        <w:t>若适用，该化学品满足《危险化学品安全管理条例》(2011年2月16日国务院第591号令颁布)的要求。</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16.其他信息</w:t>
      </w:r>
    </w:p>
    <w:p>
      <w:pPr>
        <w:pStyle w:val="3"/>
        <w:spacing w:before="40"/>
      </w:pPr>
      <w:r>
        <w:rPr>
          <w:w w:val="94"/>
        </w:rPr>
        <w:t xml:space="preserve">  </w:t>
      </w:r>
      <w:r>
        <w:rPr>
          <w:spacing w:val="-4"/>
        </w:rPr>
        <w:t>编注标准：《化学品安全技术说明书 内容和项目顺序》</w:t>
      </w:r>
      <w:r>
        <w:t>（GB/T</w:t>
      </w:r>
      <w:r>
        <w:rPr>
          <w:spacing w:val="-58"/>
        </w:rPr>
        <w:t xml:space="preserve"> </w:t>
      </w:r>
      <w:r>
        <w:t>16483-2008）</w:t>
      </w:r>
      <w:r>
        <w:rPr>
          <w:spacing w:val="-5"/>
        </w:rPr>
        <w:t xml:space="preserve"> 《化学品分类和危险性公示 通则》</w:t>
      </w:r>
      <w:r>
        <w:t>（GB</w:t>
      </w:r>
      <w:r>
        <w:rPr>
          <w:spacing w:val="-58"/>
        </w:rPr>
        <w:t xml:space="preserve"> </w:t>
      </w:r>
      <w:r>
        <w:t>13690-2009）</w:t>
      </w:r>
    </w:p>
    <w:p>
      <w:pPr>
        <w:pStyle w:val="3"/>
        <w:spacing w:line="280" w:lineRule="auto"/>
        <w:ind w:right="182"/>
      </w:pPr>
      <w:r>
        <w:rPr>
          <w:w w:val="101"/>
        </w:rPr>
        <w:t xml:space="preserve">  </w:t>
      </w:r>
      <w:r>
        <w:t>附加说明：由于目前国家尚未颁布化学品GHS分类目录，本CSDS中化学品的GHS分类是企业根据化学品分类、警示标签和警示性说明规范系列标准（GB20576～GB20602）自行分类，待国家化学品GHS分类目录颁布后再进行相应调整。</w:t>
      </w:r>
    </w:p>
    <w:p>
      <w:pPr>
        <w:pStyle w:val="3"/>
        <w:spacing w:before="1"/>
      </w:pPr>
      <w:r>
        <w:rPr>
          <w:w w:val="97"/>
        </w:rPr>
        <w:t xml:space="preserve">  </w:t>
      </w:r>
      <w:r>
        <w:t>编制部门：国药集团化学试剂有限公司——质量管理部</w:t>
      </w:r>
    </w:p>
    <w:p>
      <w:pPr>
        <w:pStyle w:val="3"/>
      </w:pPr>
      <w:r>
        <w:rPr>
          <w:w w:val="97"/>
        </w:rPr>
        <w:t xml:space="preserve">  </w:t>
      </w:r>
      <w:r>
        <w:t>修改说明：每5年修订一次或有国家新的相关法律法规出台时</w:t>
      </w:r>
    </w:p>
    <w:p>
      <w:pPr>
        <w:pStyle w:val="3"/>
      </w:pPr>
      <w:r>
        <w:rPr>
          <w:w w:val="98"/>
        </w:rPr>
        <w:t xml:space="preserve">  </w:t>
      </w:r>
      <w:r>
        <w:t>免责说明：上述信息视为正确，但不包含所有的信息，仅作为指引使用。本文件中的信息是基于我们目前所知，就正确的安全提示</w:t>
      </w:r>
    </w:p>
    <w:p>
      <w:pPr>
        <w:spacing w:after="0"/>
        <w:sectPr>
          <w:pgSz w:w="11900" w:h="16840"/>
          <w:pgMar w:top="760" w:right="600" w:bottom="700" w:left="620" w:header="0" w:footer="509" w:gutter="0"/>
          <w:cols w:space="720" w:num="1"/>
        </w:sectPr>
      </w:pPr>
    </w:p>
    <w:p>
      <w:pPr>
        <w:pStyle w:val="3"/>
        <w:spacing w:before="50" w:line="280" w:lineRule="auto"/>
        <w:ind w:right="186"/>
      </w:pPr>
      <w:r>
        <w:t>来说适用于本品。该信息不代表对此产品性质的保证。本CSDS只为那些受过适当专业训练使用该产品的有关人员提供对该产品的的安全预防资料。获取CSDS的使用者，在特殊的使用条件下，必须对本CSDS的适用性作出独立的判断，对特殊的使用场合下，由于使用本SDS所导致的伤害，本公司将不负任何责任。</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961D9"/>
    <w:multiLevelType w:val="multilevel"/>
    <w:tmpl w:val="D24961D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2"/>
      <w:lvlText w:val="%1.%2.%3"/>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MzQ2Y2Y2MDA1MzgyNTBkZTllZjI4ZGZkOTBiYjUifQ=="/>
  </w:docVars>
  <w:rsids>
    <w:rsidRoot w:val="55ED5A11"/>
    <w:rsid w:val="16047413"/>
    <w:rsid w:val="55ED5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3"/>
    <w:basedOn w:val="1"/>
    <w:next w:val="1"/>
    <w:link w:val="6"/>
    <w:unhideWhenUsed/>
    <w:qFormat/>
    <w:uiPriority w:val="0"/>
    <w:pPr>
      <w:numPr>
        <w:ilvl w:val="2"/>
        <w:numId w:val="1"/>
      </w:numPr>
      <w:tabs>
        <w:tab w:val="left" w:pos="0"/>
      </w:tabs>
      <w:spacing w:before="100" w:beforeLines="100" w:beforeAutospacing="0" w:after="100" w:afterLines="100" w:afterAutospacing="0"/>
      <w:ind w:left="0" w:leftChars="0" w:firstLine="0" w:firstLineChars="0"/>
      <w:jc w:val="left"/>
      <w:outlineLvl w:val="2"/>
    </w:pPr>
    <w:rPr>
      <w:rFonts w:hint="eastAsia" w:ascii="宋体" w:hAnsi="宋体" w:eastAsia="宋体" w:cs="宋体"/>
      <w:szCs w:val="28"/>
      <w:lang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39"/>
      <w:ind w:left="100"/>
    </w:pPr>
    <w:rPr>
      <w:rFonts w:ascii="宋体" w:hAnsi="宋体" w:eastAsia="宋体" w:cs="宋体"/>
      <w:sz w:val="18"/>
      <w:szCs w:val="18"/>
    </w:rPr>
  </w:style>
  <w:style w:type="character" w:customStyle="1" w:styleId="6">
    <w:name w:val="标题 3 Char"/>
    <w:link w:val="2"/>
    <w:qFormat/>
    <w:uiPriority w:val="0"/>
    <w:rPr>
      <w:rFonts w:eastAsia="宋体" w:cs="Times New Roman" w:asciiTheme="minorAscii" w:hAnsiTheme="minorAscii"/>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2023-11-02T09:37:00Z</dcterms:created>
  <dc:creator>刘文丹。</dc:creator>
  <cp:lastModifiedBy>刘文丹。</cp:lastModifiedBy>
  <dcterms:modified xsi:type="dcterms:W3CDTF">2023-11-02T09:38:22Z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A3A689F300BD4F79BB05FC5757221EA4_11</vt:lpwstr>
  </property>
</Properties>
</file>